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6F" w:rsidRPr="00E43998" w:rsidRDefault="007A436F">
      <w:pPr>
        <w:pStyle w:val="Overskrift1"/>
        <w:rPr>
          <w:rFonts w:ascii="Arial" w:hAnsi="Arial" w:cs="Arial"/>
          <w:sz w:val="20"/>
          <w:u w:val="none"/>
        </w:rPr>
      </w:pPr>
      <w:r w:rsidRPr="00E43998">
        <w:rPr>
          <w:rFonts w:ascii="Arial" w:hAnsi="Arial" w:cs="Arial"/>
          <w:sz w:val="20"/>
          <w:u w:val="none"/>
        </w:rPr>
        <w:t xml:space="preserve">Pressemeddelelse vedrørende Frørup Andelskasses </w:t>
      </w:r>
      <w:r w:rsidR="00CF51B8" w:rsidRPr="00E43998">
        <w:rPr>
          <w:rFonts w:ascii="Arial" w:hAnsi="Arial" w:cs="Arial"/>
          <w:sz w:val="20"/>
          <w:u w:val="none"/>
        </w:rPr>
        <w:t>halvå</w:t>
      </w:r>
      <w:r w:rsidRPr="00E43998">
        <w:rPr>
          <w:rFonts w:ascii="Arial" w:hAnsi="Arial" w:cs="Arial"/>
          <w:sz w:val="20"/>
          <w:u w:val="none"/>
        </w:rPr>
        <w:t>rsr</w:t>
      </w:r>
      <w:r w:rsidR="00310895">
        <w:rPr>
          <w:rFonts w:ascii="Arial" w:hAnsi="Arial" w:cs="Arial"/>
          <w:sz w:val="20"/>
          <w:u w:val="none"/>
        </w:rPr>
        <w:t>apport</w:t>
      </w:r>
      <w:r w:rsidRPr="00E43998">
        <w:rPr>
          <w:rFonts w:ascii="Arial" w:hAnsi="Arial" w:cs="Arial"/>
          <w:sz w:val="20"/>
          <w:u w:val="none"/>
        </w:rPr>
        <w:t xml:space="preserve"> </w:t>
      </w:r>
      <w:r w:rsidR="00DC19ED" w:rsidRPr="00E43998">
        <w:rPr>
          <w:rFonts w:ascii="Arial" w:hAnsi="Arial" w:cs="Arial"/>
          <w:sz w:val="20"/>
          <w:u w:val="none"/>
        </w:rPr>
        <w:t>201</w:t>
      </w:r>
      <w:r w:rsidR="001313CD">
        <w:rPr>
          <w:rFonts w:ascii="Arial" w:hAnsi="Arial" w:cs="Arial"/>
          <w:sz w:val="20"/>
          <w:u w:val="none"/>
        </w:rPr>
        <w:t>5</w:t>
      </w:r>
    </w:p>
    <w:p w:rsidR="00303698" w:rsidRPr="00E43998" w:rsidRDefault="00303698">
      <w:pPr>
        <w:rPr>
          <w:rFonts w:ascii="Arial" w:hAnsi="Arial" w:cs="Arial"/>
        </w:rPr>
      </w:pPr>
    </w:p>
    <w:p w:rsidR="00CF51B8" w:rsidRPr="00E43998" w:rsidRDefault="00DC19ED">
      <w:pPr>
        <w:rPr>
          <w:rFonts w:ascii="Arial" w:hAnsi="Arial" w:cs="Arial"/>
          <w:b/>
          <w:u w:val="single"/>
        </w:rPr>
      </w:pPr>
      <w:r w:rsidRPr="00E43998">
        <w:rPr>
          <w:rFonts w:ascii="Arial" w:hAnsi="Arial" w:cs="Arial"/>
          <w:b/>
          <w:u w:val="single"/>
        </w:rPr>
        <w:t xml:space="preserve">Bundsolidt pengeinstitut med styr på </w:t>
      </w:r>
      <w:r w:rsidR="00E43998" w:rsidRPr="00E43998">
        <w:rPr>
          <w:rFonts w:ascii="Arial" w:hAnsi="Arial" w:cs="Arial"/>
          <w:b/>
          <w:u w:val="single"/>
        </w:rPr>
        <w:t>kapital</w:t>
      </w:r>
      <w:r w:rsidRPr="00E43998">
        <w:rPr>
          <w:rFonts w:ascii="Arial" w:hAnsi="Arial" w:cs="Arial"/>
          <w:b/>
          <w:u w:val="single"/>
        </w:rPr>
        <w:t xml:space="preserve"> og likviditet</w:t>
      </w:r>
    </w:p>
    <w:p w:rsidR="00CF51B8" w:rsidRPr="00E43998" w:rsidRDefault="00DC19ED">
      <w:pPr>
        <w:rPr>
          <w:rFonts w:ascii="Arial" w:hAnsi="Arial" w:cs="Arial"/>
          <w:u w:val="single"/>
        </w:rPr>
      </w:pPr>
      <w:r w:rsidRPr="00E43998">
        <w:rPr>
          <w:rFonts w:ascii="Arial" w:hAnsi="Arial" w:cs="Arial"/>
        </w:rPr>
        <w:t>Frørup Andelskasse har</w:t>
      </w:r>
    </w:p>
    <w:p w:rsidR="00CF51B8" w:rsidRPr="00E43998" w:rsidRDefault="00F338EE" w:rsidP="00DC19ED">
      <w:pPr>
        <w:numPr>
          <w:ilvl w:val="0"/>
          <w:numId w:val="9"/>
        </w:numPr>
        <w:rPr>
          <w:rFonts w:ascii="Arial" w:hAnsi="Arial" w:cs="Arial"/>
        </w:rPr>
      </w:pPr>
      <w:r w:rsidRPr="00E43998">
        <w:rPr>
          <w:rFonts w:ascii="Arial" w:hAnsi="Arial" w:cs="Arial"/>
        </w:rPr>
        <w:t>e</w:t>
      </w:r>
      <w:r w:rsidR="00CF51B8" w:rsidRPr="00E43998">
        <w:rPr>
          <w:rFonts w:ascii="Arial" w:hAnsi="Arial" w:cs="Arial"/>
        </w:rPr>
        <w:t xml:space="preserve">n </w:t>
      </w:r>
      <w:r w:rsidR="00D2691A">
        <w:rPr>
          <w:rFonts w:ascii="Arial" w:hAnsi="Arial" w:cs="Arial"/>
        </w:rPr>
        <w:t>solvens</w:t>
      </w:r>
      <w:r w:rsidR="00CF51B8" w:rsidRPr="00E43998">
        <w:rPr>
          <w:rFonts w:ascii="Arial" w:hAnsi="Arial" w:cs="Arial"/>
        </w:rPr>
        <w:t xml:space="preserve">procent på </w:t>
      </w:r>
      <w:r w:rsidR="00D2691A">
        <w:rPr>
          <w:rFonts w:ascii="Arial" w:hAnsi="Arial" w:cs="Arial"/>
        </w:rPr>
        <w:t>30,6</w:t>
      </w:r>
      <w:r w:rsidR="00E43998" w:rsidRPr="00E43998">
        <w:rPr>
          <w:rFonts w:ascii="Arial" w:hAnsi="Arial" w:cs="Arial"/>
        </w:rPr>
        <w:t xml:space="preserve"> </w:t>
      </w:r>
      <w:r w:rsidR="00E70DA8" w:rsidRPr="00E43998">
        <w:rPr>
          <w:rFonts w:ascii="Arial" w:hAnsi="Arial" w:cs="Arial"/>
        </w:rPr>
        <w:t xml:space="preserve">% </w:t>
      </w:r>
    </w:p>
    <w:p w:rsidR="00CF51B8" w:rsidRPr="00E43998" w:rsidRDefault="00F338EE" w:rsidP="00DC19ED">
      <w:pPr>
        <w:numPr>
          <w:ilvl w:val="0"/>
          <w:numId w:val="9"/>
        </w:numPr>
        <w:rPr>
          <w:rFonts w:ascii="Arial" w:hAnsi="Arial" w:cs="Arial"/>
        </w:rPr>
      </w:pPr>
      <w:r w:rsidRPr="00E43998">
        <w:rPr>
          <w:rFonts w:ascii="Arial" w:hAnsi="Arial" w:cs="Arial"/>
        </w:rPr>
        <w:t>o</w:t>
      </w:r>
      <w:r w:rsidR="00CF51B8" w:rsidRPr="00E43998">
        <w:rPr>
          <w:rFonts w:ascii="Arial" w:hAnsi="Arial" w:cs="Arial"/>
        </w:rPr>
        <w:t xml:space="preserve">verdækning i forhold til lovkrav om likviditet på </w:t>
      </w:r>
      <w:r w:rsidR="00D2691A">
        <w:rPr>
          <w:rFonts w:ascii="Arial" w:hAnsi="Arial" w:cs="Arial"/>
        </w:rPr>
        <w:t>531,2</w:t>
      </w:r>
      <w:r w:rsidR="00CF51B8" w:rsidRPr="00E43998">
        <w:rPr>
          <w:rFonts w:ascii="Arial" w:hAnsi="Arial" w:cs="Arial"/>
        </w:rPr>
        <w:t xml:space="preserve"> %</w:t>
      </w:r>
      <w:r w:rsidR="00DC19ED" w:rsidRPr="00E43998">
        <w:rPr>
          <w:rFonts w:ascii="Arial" w:hAnsi="Arial" w:cs="Arial"/>
        </w:rPr>
        <w:t xml:space="preserve"> (lovens minimumskrav</w:t>
      </w:r>
      <w:r w:rsidR="00230A75" w:rsidRPr="00E43998">
        <w:rPr>
          <w:rFonts w:ascii="Arial" w:hAnsi="Arial" w:cs="Arial"/>
        </w:rPr>
        <w:t xml:space="preserve"> 10</w:t>
      </w:r>
      <w:r w:rsidR="00DC19ED" w:rsidRPr="00E43998">
        <w:rPr>
          <w:rFonts w:ascii="Arial" w:hAnsi="Arial" w:cs="Arial"/>
        </w:rPr>
        <w:t xml:space="preserve"> %)</w:t>
      </w:r>
    </w:p>
    <w:p w:rsidR="00DC19ED" w:rsidRPr="00E43998" w:rsidRDefault="00F338EE">
      <w:pPr>
        <w:numPr>
          <w:ilvl w:val="0"/>
          <w:numId w:val="9"/>
        </w:numPr>
        <w:rPr>
          <w:rFonts w:ascii="Arial" w:hAnsi="Arial" w:cs="Arial"/>
        </w:rPr>
      </w:pPr>
      <w:r w:rsidRPr="00E43998">
        <w:rPr>
          <w:rFonts w:ascii="Arial" w:hAnsi="Arial" w:cs="Arial"/>
        </w:rPr>
        <w:t>e</w:t>
      </w:r>
      <w:r w:rsidR="00E43998" w:rsidRPr="00E43998">
        <w:rPr>
          <w:rFonts w:ascii="Arial" w:hAnsi="Arial" w:cs="Arial"/>
        </w:rPr>
        <w:t xml:space="preserve">n </w:t>
      </w:r>
      <w:r w:rsidR="00D2691A">
        <w:rPr>
          <w:rFonts w:ascii="Arial" w:hAnsi="Arial" w:cs="Arial"/>
        </w:rPr>
        <w:t>solvenso</w:t>
      </w:r>
      <w:r w:rsidR="00DC19ED" w:rsidRPr="00E43998">
        <w:rPr>
          <w:rFonts w:ascii="Arial" w:hAnsi="Arial" w:cs="Arial"/>
        </w:rPr>
        <w:t xml:space="preserve">verdækning på hele </w:t>
      </w:r>
      <w:r w:rsidR="00230A75" w:rsidRPr="00E43998">
        <w:rPr>
          <w:rFonts w:ascii="Arial" w:hAnsi="Arial" w:cs="Arial"/>
        </w:rPr>
        <w:t>2</w:t>
      </w:r>
      <w:r w:rsidR="00D2691A">
        <w:rPr>
          <w:rFonts w:ascii="Arial" w:hAnsi="Arial" w:cs="Arial"/>
        </w:rPr>
        <w:t>2,3</w:t>
      </w:r>
      <w:r w:rsidR="00DC19ED" w:rsidRPr="00E43998">
        <w:rPr>
          <w:rFonts w:ascii="Arial" w:hAnsi="Arial" w:cs="Arial"/>
        </w:rPr>
        <w:t xml:space="preserve"> procentpoint i forhold til andelskassens </w:t>
      </w:r>
      <w:r w:rsidR="00D2691A">
        <w:rPr>
          <w:rFonts w:ascii="Arial" w:hAnsi="Arial" w:cs="Arial"/>
        </w:rPr>
        <w:t>solvens</w:t>
      </w:r>
      <w:r w:rsidR="00DC19ED" w:rsidRPr="00E43998">
        <w:rPr>
          <w:rFonts w:ascii="Arial" w:hAnsi="Arial" w:cs="Arial"/>
        </w:rPr>
        <w:t>behov</w:t>
      </w:r>
      <w:r w:rsidR="00E70DA8" w:rsidRPr="00E43998">
        <w:rPr>
          <w:rFonts w:ascii="Arial" w:hAnsi="Arial" w:cs="Arial"/>
        </w:rPr>
        <w:t>,</w:t>
      </w:r>
      <w:r w:rsidR="00074D23" w:rsidRPr="00E43998">
        <w:rPr>
          <w:rFonts w:ascii="Arial" w:hAnsi="Arial" w:cs="Arial"/>
        </w:rPr>
        <w:t xml:space="preserve"> som</w:t>
      </w:r>
      <w:r w:rsidR="00E70DA8" w:rsidRPr="00E43998">
        <w:rPr>
          <w:rFonts w:ascii="Arial" w:hAnsi="Arial" w:cs="Arial"/>
        </w:rPr>
        <w:t xml:space="preserve"> er beregnet til 8,</w:t>
      </w:r>
      <w:r w:rsidR="00D2691A">
        <w:rPr>
          <w:rFonts w:ascii="Arial" w:hAnsi="Arial" w:cs="Arial"/>
        </w:rPr>
        <w:t>3 %</w:t>
      </w:r>
      <w:r w:rsidR="00DC19ED" w:rsidRPr="00E43998">
        <w:rPr>
          <w:rFonts w:ascii="Arial" w:hAnsi="Arial" w:cs="Arial"/>
        </w:rPr>
        <w:t>.</w:t>
      </w:r>
    </w:p>
    <w:p w:rsidR="00DC19ED" w:rsidRPr="00E43998" w:rsidRDefault="00DC19ED" w:rsidP="00DC19ED">
      <w:pPr>
        <w:rPr>
          <w:rFonts w:ascii="Arial" w:hAnsi="Arial" w:cs="Arial"/>
        </w:rPr>
      </w:pPr>
    </w:p>
    <w:p w:rsidR="00DC19ED" w:rsidRPr="00E43998" w:rsidRDefault="00DC19ED" w:rsidP="00DC19ED">
      <w:pPr>
        <w:rPr>
          <w:rFonts w:ascii="Arial" w:hAnsi="Arial" w:cs="Arial"/>
        </w:rPr>
      </w:pPr>
      <w:r w:rsidRPr="00E43998">
        <w:rPr>
          <w:rFonts w:ascii="Arial" w:hAnsi="Arial" w:cs="Arial"/>
        </w:rPr>
        <w:t>Disse nøgletal gør andelskassen til e</w:t>
      </w:r>
      <w:r w:rsidR="009628E1" w:rsidRPr="00E43998">
        <w:rPr>
          <w:rFonts w:ascii="Arial" w:hAnsi="Arial" w:cs="Arial"/>
        </w:rPr>
        <w:t>t</w:t>
      </w:r>
      <w:r w:rsidRPr="00E43998">
        <w:rPr>
          <w:rFonts w:ascii="Arial" w:hAnsi="Arial" w:cs="Arial"/>
        </w:rPr>
        <w:t xml:space="preserve"> af landets bedst konsoliderede pengeinstitut</w:t>
      </w:r>
      <w:r w:rsidR="001C31E1" w:rsidRPr="00E43998">
        <w:rPr>
          <w:rFonts w:ascii="Arial" w:hAnsi="Arial" w:cs="Arial"/>
        </w:rPr>
        <w:t>ter</w:t>
      </w:r>
      <w:r w:rsidRPr="00E43998">
        <w:rPr>
          <w:rFonts w:ascii="Arial" w:hAnsi="Arial" w:cs="Arial"/>
        </w:rPr>
        <w:t>, hvilket undersøgelse</w:t>
      </w:r>
      <w:r w:rsidR="009628E1" w:rsidRPr="00E43998">
        <w:rPr>
          <w:rFonts w:ascii="Arial" w:hAnsi="Arial" w:cs="Arial"/>
        </w:rPr>
        <w:t>r</w:t>
      </w:r>
      <w:r w:rsidRPr="00E43998">
        <w:rPr>
          <w:rFonts w:ascii="Arial" w:hAnsi="Arial" w:cs="Arial"/>
        </w:rPr>
        <w:t xml:space="preserve"> i landsdækkende aviser ligeledes har bevidnet.</w:t>
      </w:r>
    </w:p>
    <w:p w:rsidR="00F338EE" w:rsidRPr="00E43998" w:rsidRDefault="00F338EE" w:rsidP="00DC19ED">
      <w:pPr>
        <w:rPr>
          <w:rFonts w:ascii="Arial" w:hAnsi="Arial" w:cs="Arial"/>
        </w:rPr>
      </w:pPr>
    </w:p>
    <w:p w:rsidR="00DC19ED" w:rsidRPr="00E43998" w:rsidRDefault="00DC19ED" w:rsidP="00DC19ED">
      <w:pPr>
        <w:rPr>
          <w:rFonts w:ascii="Arial" w:hAnsi="Arial" w:cs="Arial"/>
        </w:rPr>
      </w:pPr>
      <w:r w:rsidRPr="00E43998">
        <w:rPr>
          <w:rFonts w:ascii="Arial" w:hAnsi="Arial" w:cs="Arial"/>
        </w:rPr>
        <w:t>Dertil kommer, at andelskassen har sorte tal på bundlinjen for årets første 6 måneder.</w:t>
      </w:r>
    </w:p>
    <w:p w:rsidR="009374BC" w:rsidRPr="00E43998" w:rsidRDefault="009374BC">
      <w:pPr>
        <w:rPr>
          <w:rFonts w:ascii="Arial" w:hAnsi="Arial" w:cs="Arial"/>
        </w:rPr>
      </w:pPr>
    </w:p>
    <w:p w:rsidR="009374BC" w:rsidRPr="00E43998" w:rsidRDefault="009374BC">
      <w:pPr>
        <w:rPr>
          <w:rFonts w:ascii="Arial" w:hAnsi="Arial" w:cs="Arial"/>
          <w:b/>
        </w:rPr>
      </w:pPr>
      <w:r w:rsidRPr="00E43998">
        <w:rPr>
          <w:rFonts w:ascii="Arial" w:hAnsi="Arial" w:cs="Arial"/>
          <w:b/>
        </w:rPr>
        <w:t>Drift</w:t>
      </w:r>
    </w:p>
    <w:p w:rsidR="00074D23" w:rsidRPr="00E43998" w:rsidRDefault="009374BC">
      <w:pPr>
        <w:rPr>
          <w:rFonts w:ascii="Arial" w:hAnsi="Arial" w:cs="Arial"/>
        </w:rPr>
      </w:pPr>
      <w:r w:rsidRPr="00E43998">
        <w:rPr>
          <w:rFonts w:ascii="Arial" w:hAnsi="Arial" w:cs="Arial"/>
        </w:rPr>
        <w:t xml:space="preserve">Netto rente- og gebyrindtægter udgør </w:t>
      </w:r>
      <w:r w:rsidR="00D2691A">
        <w:rPr>
          <w:rFonts w:ascii="Arial" w:hAnsi="Arial" w:cs="Arial"/>
        </w:rPr>
        <w:t>13,3</w:t>
      </w:r>
      <w:r w:rsidR="00074D23" w:rsidRPr="00E43998">
        <w:rPr>
          <w:rFonts w:ascii="Arial" w:hAnsi="Arial" w:cs="Arial"/>
        </w:rPr>
        <w:t xml:space="preserve"> mio. kr. mod sidste år </w:t>
      </w:r>
      <w:r w:rsidR="00D2691A">
        <w:rPr>
          <w:rFonts w:ascii="Arial" w:hAnsi="Arial" w:cs="Arial"/>
        </w:rPr>
        <w:t>12,8</w:t>
      </w:r>
      <w:r w:rsidRPr="00E43998">
        <w:rPr>
          <w:rFonts w:ascii="Arial" w:hAnsi="Arial" w:cs="Arial"/>
        </w:rPr>
        <w:t xml:space="preserve"> mio. kr.</w:t>
      </w:r>
    </w:p>
    <w:p w:rsidR="00E70DA8" w:rsidRPr="00E43998" w:rsidRDefault="00074D23">
      <w:pPr>
        <w:rPr>
          <w:rFonts w:ascii="Arial" w:hAnsi="Arial" w:cs="Arial"/>
        </w:rPr>
      </w:pPr>
      <w:r w:rsidRPr="00E43998">
        <w:rPr>
          <w:rFonts w:ascii="Arial" w:hAnsi="Arial" w:cs="Arial"/>
        </w:rPr>
        <w:t xml:space="preserve"> </w:t>
      </w:r>
    </w:p>
    <w:p w:rsidR="00085B85" w:rsidRPr="00E43998" w:rsidRDefault="00085B85">
      <w:pPr>
        <w:rPr>
          <w:rFonts w:ascii="Arial" w:hAnsi="Arial" w:cs="Arial"/>
        </w:rPr>
      </w:pPr>
      <w:r w:rsidRPr="00E43998">
        <w:rPr>
          <w:rFonts w:ascii="Arial" w:hAnsi="Arial" w:cs="Arial"/>
        </w:rPr>
        <w:t>Fondsbeholdningen har givet e</w:t>
      </w:r>
      <w:r w:rsidR="00074D23" w:rsidRPr="00E43998">
        <w:rPr>
          <w:rFonts w:ascii="Arial" w:hAnsi="Arial" w:cs="Arial"/>
        </w:rPr>
        <w:t>n</w:t>
      </w:r>
      <w:r w:rsidR="001C31E1" w:rsidRPr="00E43998">
        <w:rPr>
          <w:rFonts w:ascii="Arial" w:hAnsi="Arial" w:cs="Arial"/>
        </w:rPr>
        <w:t xml:space="preserve"> samlet </w:t>
      </w:r>
      <w:r w:rsidR="00E70DA8" w:rsidRPr="00E43998">
        <w:rPr>
          <w:rFonts w:ascii="Arial" w:hAnsi="Arial" w:cs="Arial"/>
        </w:rPr>
        <w:t>kurs</w:t>
      </w:r>
      <w:r w:rsidR="00E43998">
        <w:rPr>
          <w:rFonts w:ascii="Arial" w:hAnsi="Arial" w:cs="Arial"/>
        </w:rPr>
        <w:t>regulering</w:t>
      </w:r>
      <w:r w:rsidR="00E70DA8" w:rsidRPr="00E43998">
        <w:rPr>
          <w:rFonts w:ascii="Arial" w:hAnsi="Arial" w:cs="Arial"/>
        </w:rPr>
        <w:t xml:space="preserve"> på </w:t>
      </w:r>
      <w:r w:rsidR="00D2691A">
        <w:rPr>
          <w:rFonts w:ascii="Arial" w:hAnsi="Arial" w:cs="Arial"/>
        </w:rPr>
        <w:t>5,7</w:t>
      </w:r>
      <w:r w:rsidRPr="00E43998">
        <w:rPr>
          <w:rFonts w:ascii="Arial" w:hAnsi="Arial" w:cs="Arial"/>
        </w:rPr>
        <w:t xml:space="preserve"> mio. kr.</w:t>
      </w:r>
      <w:r w:rsidR="003D40AA" w:rsidRPr="00E43998">
        <w:rPr>
          <w:rFonts w:ascii="Arial" w:hAnsi="Arial" w:cs="Arial"/>
        </w:rPr>
        <w:t>,</w:t>
      </w:r>
      <w:r w:rsidRPr="00E43998">
        <w:rPr>
          <w:rFonts w:ascii="Arial" w:hAnsi="Arial" w:cs="Arial"/>
        </w:rPr>
        <w:t xml:space="preserve"> fordelt med </w:t>
      </w:r>
      <w:r w:rsidR="00E70DA8" w:rsidRPr="00E43998">
        <w:rPr>
          <w:rFonts w:ascii="Arial" w:hAnsi="Arial" w:cs="Arial"/>
        </w:rPr>
        <w:t xml:space="preserve">en </w:t>
      </w:r>
      <w:r w:rsidR="00E43998">
        <w:rPr>
          <w:rFonts w:ascii="Arial" w:hAnsi="Arial" w:cs="Arial"/>
        </w:rPr>
        <w:t>kursregulering</w:t>
      </w:r>
      <w:r w:rsidR="00E70DA8" w:rsidRPr="00E43998">
        <w:rPr>
          <w:rFonts w:ascii="Arial" w:hAnsi="Arial" w:cs="Arial"/>
        </w:rPr>
        <w:t xml:space="preserve"> </w:t>
      </w:r>
      <w:r w:rsidRPr="00E43998">
        <w:rPr>
          <w:rFonts w:ascii="Arial" w:hAnsi="Arial" w:cs="Arial"/>
        </w:rPr>
        <w:t xml:space="preserve">på aktier på </w:t>
      </w:r>
      <w:r w:rsidR="00D2691A">
        <w:rPr>
          <w:rFonts w:ascii="Arial" w:hAnsi="Arial" w:cs="Arial"/>
        </w:rPr>
        <w:t>6,2</w:t>
      </w:r>
      <w:r w:rsidR="001C31E1" w:rsidRPr="00E43998">
        <w:rPr>
          <w:rFonts w:ascii="Arial" w:hAnsi="Arial" w:cs="Arial"/>
        </w:rPr>
        <w:t xml:space="preserve"> </w:t>
      </w:r>
      <w:r w:rsidRPr="00E43998">
        <w:rPr>
          <w:rFonts w:ascii="Arial" w:hAnsi="Arial" w:cs="Arial"/>
        </w:rPr>
        <w:t>mio. kr.</w:t>
      </w:r>
      <w:r w:rsidR="0082473C">
        <w:rPr>
          <w:rFonts w:ascii="Arial" w:hAnsi="Arial" w:cs="Arial"/>
        </w:rPr>
        <w:t>,</w:t>
      </w:r>
      <w:r w:rsidR="003D40AA" w:rsidRPr="00E43998">
        <w:rPr>
          <w:rFonts w:ascii="Arial" w:hAnsi="Arial" w:cs="Arial"/>
        </w:rPr>
        <w:t xml:space="preserve"> </w:t>
      </w:r>
      <w:r w:rsidR="00E70DA8" w:rsidRPr="00E43998">
        <w:rPr>
          <w:rFonts w:ascii="Arial" w:hAnsi="Arial" w:cs="Arial"/>
        </w:rPr>
        <w:t xml:space="preserve">en </w:t>
      </w:r>
      <w:r w:rsidR="00E43998">
        <w:rPr>
          <w:rFonts w:ascii="Arial" w:hAnsi="Arial" w:cs="Arial"/>
        </w:rPr>
        <w:t>kursregulering</w:t>
      </w:r>
      <w:r w:rsidR="001C31E1" w:rsidRPr="00E43998">
        <w:rPr>
          <w:rFonts w:ascii="Arial" w:hAnsi="Arial" w:cs="Arial"/>
        </w:rPr>
        <w:t xml:space="preserve"> </w:t>
      </w:r>
      <w:r w:rsidRPr="00E43998">
        <w:rPr>
          <w:rFonts w:ascii="Arial" w:hAnsi="Arial" w:cs="Arial"/>
        </w:rPr>
        <w:t xml:space="preserve">på obligationer på </w:t>
      </w:r>
      <w:r w:rsidR="00D2691A">
        <w:rPr>
          <w:rFonts w:ascii="Arial" w:hAnsi="Arial" w:cs="Arial"/>
        </w:rPr>
        <w:t>-0,6</w:t>
      </w:r>
      <w:r w:rsidRPr="00E43998">
        <w:rPr>
          <w:rFonts w:ascii="Arial" w:hAnsi="Arial" w:cs="Arial"/>
        </w:rPr>
        <w:t xml:space="preserve"> mio. kr.</w:t>
      </w:r>
      <w:r w:rsidR="0082473C">
        <w:rPr>
          <w:rFonts w:ascii="Arial" w:hAnsi="Arial" w:cs="Arial"/>
        </w:rPr>
        <w:t xml:space="preserve"> og en kursregulering på valuta på 0,1 mio. kr.</w:t>
      </w:r>
      <w:r w:rsidRPr="00E43998">
        <w:rPr>
          <w:rFonts w:ascii="Arial" w:hAnsi="Arial" w:cs="Arial"/>
        </w:rPr>
        <w:t xml:space="preserve"> Sidste år var der </w:t>
      </w:r>
      <w:r w:rsidR="00074D23" w:rsidRPr="00E43998">
        <w:rPr>
          <w:rFonts w:ascii="Arial" w:hAnsi="Arial" w:cs="Arial"/>
        </w:rPr>
        <w:t>kurs</w:t>
      </w:r>
      <w:r w:rsidR="00E43998">
        <w:rPr>
          <w:rFonts w:ascii="Arial" w:hAnsi="Arial" w:cs="Arial"/>
        </w:rPr>
        <w:t xml:space="preserve">reguleringer </w:t>
      </w:r>
      <w:r w:rsidR="00074D23" w:rsidRPr="00E43998">
        <w:rPr>
          <w:rFonts w:ascii="Arial" w:hAnsi="Arial" w:cs="Arial"/>
        </w:rPr>
        <w:t xml:space="preserve">på </w:t>
      </w:r>
      <w:r w:rsidR="00D2691A">
        <w:rPr>
          <w:rFonts w:ascii="Arial" w:hAnsi="Arial" w:cs="Arial"/>
        </w:rPr>
        <w:t>6,6</w:t>
      </w:r>
      <w:r w:rsidR="00E745D6" w:rsidRPr="00E43998">
        <w:rPr>
          <w:rFonts w:ascii="Arial" w:hAnsi="Arial" w:cs="Arial"/>
        </w:rPr>
        <w:t xml:space="preserve"> mio. kr. </w:t>
      </w:r>
    </w:p>
    <w:p w:rsidR="00085B85" w:rsidRPr="00E43998" w:rsidRDefault="00085B85">
      <w:pPr>
        <w:rPr>
          <w:rFonts w:ascii="Arial" w:hAnsi="Arial" w:cs="Arial"/>
        </w:rPr>
      </w:pPr>
      <w:bookmarkStart w:id="0" w:name="_GoBack"/>
      <w:bookmarkEnd w:id="0"/>
    </w:p>
    <w:p w:rsidR="00085B85" w:rsidRPr="00E43998" w:rsidRDefault="00085B85">
      <w:pPr>
        <w:rPr>
          <w:rFonts w:ascii="Arial" w:hAnsi="Arial" w:cs="Arial"/>
        </w:rPr>
      </w:pPr>
      <w:r w:rsidRPr="00E43998">
        <w:rPr>
          <w:rFonts w:ascii="Arial" w:hAnsi="Arial" w:cs="Arial"/>
        </w:rPr>
        <w:t xml:space="preserve">De samlede udgifter til personale og administration udgør </w:t>
      </w:r>
      <w:r w:rsidR="00D2691A">
        <w:rPr>
          <w:rFonts w:ascii="Arial" w:hAnsi="Arial" w:cs="Arial"/>
        </w:rPr>
        <w:t>10,1</w:t>
      </w:r>
      <w:r w:rsidR="00074D23" w:rsidRPr="00E43998">
        <w:rPr>
          <w:rFonts w:ascii="Arial" w:hAnsi="Arial" w:cs="Arial"/>
        </w:rPr>
        <w:t xml:space="preserve"> </w:t>
      </w:r>
      <w:r w:rsidR="00FE37D4" w:rsidRPr="00E43998">
        <w:rPr>
          <w:rFonts w:ascii="Arial" w:hAnsi="Arial" w:cs="Arial"/>
        </w:rPr>
        <w:t xml:space="preserve">mio. kr. </w:t>
      </w:r>
      <w:r w:rsidR="00074D23" w:rsidRPr="00E43998">
        <w:rPr>
          <w:rFonts w:ascii="Arial" w:hAnsi="Arial" w:cs="Arial"/>
        </w:rPr>
        <w:t xml:space="preserve">mod sidste år </w:t>
      </w:r>
      <w:r w:rsidR="00D2691A">
        <w:rPr>
          <w:rFonts w:ascii="Arial" w:hAnsi="Arial" w:cs="Arial"/>
        </w:rPr>
        <w:t>8,9</w:t>
      </w:r>
      <w:r w:rsidR="00E745D6" w:rsidRPr="00E43998">
        <w:rPr>
          <w:rFonts w:ascii="Arial" w:hAnsi="Arial" w:cs="Arial"/>
        </w:rPr>
        <w:t xml:space="preserve"> </w:t>
      </w:r>
      <w:r w:rsidRPr="00E43998">
        <w:rPr>
          <w:rFonts w:ascii="Arial" w:hAnsi="Arial" w:cs="Arial"/>
        </w:rPr>
        <w:t>mio. kr., e</w:t>
      </w:r>
      <w:r w:rsidR="00E43998">
        <w:rPr>
          <w:rFonts w:ascii="Arial" w:hAnsi="Arial" w:cs="Arial"/>
        </w:rPr>
        <w:t xml:space="preserve">n stigning på </w:t>
      </w:r>
      <w:r w:rsidR="00D2691A">
        <w:rPr>
          <w:rFonts w:ascii="Arial" w:hAnsi="Arial" w:cs="Arial"/>
        </w:rPr>
        <w:t>1,2</w:t>
      </w:r>
      <w:r w:rsidR="00E43998">
        <w:rPr>
          <w:rFonts w:ascii="Arial" w:hAnsi="Arial" w:cs="Arial"/>
        </w:rPr>
        <w:t xml:space="preserve"> mio. kr., primært som følge af </w:t>
      </w:r>
      <w:r w:rsidR="00F959E7">
        <w:rPr>
          <w:rFonts w:ascii="Arial" w:hAnsi="Arial" w:cs="Arial"/>
        </w:rPr>
        <w:t xml:space="preserve">dels </w:t>
      </w:r>
      <w:r w:rsidR="00E43998">
        <w:rPr>
          <w:rFonts w:ascii="Arial" w:hAnsi="Arial" w:cs="Arial"/>
        </w:rPr>
        <w:t>øgede</w:t>
      </w:r>
      <w:r w:rsidR="00D2691A">
        <w:rPr>
          <w:rFonts w:ascii="Arial" w:hAnsi="Arial" w:cs="Arial"/>
        </w:rPr>
        <w:t xml:space="preserve"> medarbejderudgifter</w:t>
      </w:r>
      <w:r w:rsidR="00F959E7">
        <w:rPr>
          <w:rFonts w:ascii="Arial" w:hAnsi="Arial" w:cs="Arial"/>
        </w:rPr>
        <w:t xml:space="preserve"> (</w:t>
      </w:r>
      <w:r w:rsidR="00D2691A">
        <w:rPr>
          <w:rFonts w:ascii="Arial" w:hAnsi="Arial" w:cs="Arial"/>
        </w:rPr>
        <w:t>ansat 1 medarbe</w:t>
      </w:r>
      <w:r w:rsidR="00F959E7">
        <w:rPr>
          <w:rFonts w:ascii="Arial" w:hAnsi="Arial" w:cs="Arial"/>
        </w:rPr>
        <w:t>jder mere nu end for 1 år siden), dels øgede markedsføringsomkostninger og dels generelle omkostningsstigninger.</w:t>
      </w:r>
    </w:p>
    <w:p w:rsidR="00085B85" w:rsidRPr="00E43998" w:rsidRDefault="00085B85">
      <w:pPr>
        <w:rPr>
          <w:rFonts w:ascii="Arial" w:hAnsi="Arial" w:cs="Arial"/>
        </w:rPr>
      </w:pPr>
    </w:p>
    <w:p w:rsidR="006163E0" w:rsidRPr="00E43998" w:rsidRDefault="001C31E1">
      <w:pPr>
        <w:rPr>
          <w:rFonts w:ascii="Arial" w:hAnsi="Arial" w:cs="Arial"/>
        </w:rPr>
      </w:pPr>
      <w:r w:rsidRPr="00E43998">
        <w:rPr>
          <w:rFonts w:ascii="Arial" w:hAnsi="Arial" w:cs="Arial"/>
        </w:rPr>
        <w:t xml:space="preserve">Andre driftsudgifter beløber sig til </w:t>
      </w:r>
      <w:r w:rsidR="00E745D6" w:rsidRPr="00E43998">
        <w:rPr>
          <w:rFonts w:ascii="Arial" w:hAnsi="Arial" w:cs="Arial"/>
        </w:rPr>
        <w:t>0,</w:t>
      </w:r>
      <w:r w:rsidR="00E43998">
        <w:rPr>
          <w:rFonts w:ascii="Arial" w:hAnsi="Arial" w:cs="Arial"/>
        </w:rPr>
        <w:t>6</w:t>
      </w:r>
      <w:r w:rsidRPr="00E43998">
        <w:rPr>
          <w:rFonts w:ascii="Arial" w:hAnsi="Arial" w:cs="Arial"/>
        </w:rPr>
        <w:t xml:space="preserve"> mio. kr., hvilket beløb dækker </w:t>
      </w:r>
      <w:r w:rsidR="009628E1" w:rsidRPr="00E43998">
        <w:rPr>
          <w:rFonts w:ascii="Arial" w:hAnsi="Arial" w:cs="Arial"/>
        </w:rPr>
        <w:t>indbetalinger til Indskydergarantifonden</w:t>
      </w:r>
      <w:r w:rsidR="006163E0" w:rsidRPr="00E43998">
        <w:rPr>
          <w:rFonts w:ascii="Arial" w:hAnsi="Arial" w:cs="Arial"/>
        </w:rPr>
        <w:t>.</w:t>
      </w:r>
    </w:p>
    <w:p w:rsidR="00FE37D4" w:rsidRPr="00E43998" w:rsidRDefault="00FE37D4">
      <w:pPr>
        <w:rPr>
          <w:rFonts w:ascii="Arial" w:hAnsi="Arial" w:cs="Arial"/>
        </w:rPr>
      </w:pPr>
    </w:p>
    <w:p w:rsidR="00FE37D4" w:rsidRPr="00E43998" w:rsidRDefault="00FE37D4">
      <w:pPr>
        <w:rPr>
          <w:rFonts w:ascii="Arial" w:hAnsi="Arial" w:cs="Arial"/>
        </w:rPr>
      </w:pPr>
      <w:r w:rsidRPr="00E43998">
        <w:rPr>
          <w:rFonts w:ascii="Arial" w:hAnsi="Arial" w:cs="Arial"/>
        </w:rPr>
        <w:t xml:space="preserve">Nedskrivningerne udgør </w:t>
      </w:r>
      <w:r w:rsidR="00E43998">
        <w:rPr>
          <w:rFonts w:ascii="Arial" w:hAnsi="Arial" w:cs="Arial"/>
        </w:rPr>
        <w:t>-</w:t>
      </w:r>
      <w:r w:rsidR="00F959E7">
        <w:rPr>
          <w:rFonts w:ascii="Arial" w:hAnsi="Arial" w:cs="Arial"/>
        </w:rPr>
        <w:t>2</w:t>
      </w:r>
      <w:r w:rsidR="00E43998">
        <w:rPr>
          <w:rFonts w:ascii="Arial" w:hAnsi="Arial" w:cs="Arial"/>
        </w:rPr>
        <w:t>,0</w:t>
      </w:r>
      <w:r w:rsidRPr="00E43998">
        <w:rPr>
          <w:rFonts w:ascii="Arial" w:hAnsi="Arial" w:cs="Arial"/>
        </w:rPr>
        <w:t xml:space="preserve"> mio. kr.</w:t>
      </w:r>
      <w:r w:rsidR="009D62F7">
        <w:rPr>
          <w:rFonts w:ascii="Arial" w:hAnsi="Arial" w:cs="Arial"/>
        </w:rPr>
        <w:t xml:space="preserve"> – altså en indtægt – pr. 3</w:t>
      </w:r>
      <w:r w:rsidRPr="00E43998">
        <w:rPr>
          <w:rFonts w:ascii="Arial" w:hAnsi="Arial" w:cs="Arial"/>
        </w:rPr>
        <w:t>0.6.201</w:t>
      </w:r>
      <w:r w:rsidR="00F959E7">
        <w:rPr>
          <w:rFonts w:ascii="Arial" w:hAnsi="Arial" w:cs="Arial"/>
        </w:rPr>
        <w:t>5</w:t>
      </w:r>
      <w:r w:rsidR="009D62F7">
        <w:rPr>
          <w:rFonts w:ascii="Arial" w:hAnsi="Arial" w:cs="Arial"/>
        </w:rPr>
        <w:t xml:space="preserve"> </w:t>
      </w:r>
      <w:r w:rsidRPr="00E43998">
        <w:rPr>
          <w:rFonts w:ascii="Arial" w:hAnsi="Arial" w:cs="Arial"/>
        </w:rPr>
        <w:t xml:space="preserve">mod </w:t>
      </w:r>
      <w:r w:rsidR="00F959E7">
        <w:rPr>
          <w:rFonts w:ascii="Arial" w:hAnsi="Arial" w:cs="Arial"/>
        </w:rPr>
        <w:t>-1,0</w:t>
      </w:r>
      <w:r w:rsidRPr="00E43998">
        <w:rPr>
          <w:rFonts w:ascii="Arial" w:hAnsi="Arial" w:cs="Arial"/>
        </w:rPr>
        <w:t xml:space="preserve"> mio. kr. året før.</w:t>
      </w:r>
    </w:p>
    <w:p w:rsidR="00FE37D4" w:rsidRPr="00E43998" w:rsidRDefault="00FE37D4">
      <w:pPr>
        <w:rPr>
          <w:rFonts w:ascii="Arial" w:hAnsi="Arial" w:cs="Arial"/>
        </w:rPr>
      </w:pPr>
    </w:p>
    <w:p w:rsidR="001C31E1" w:rsidRPr="00E43998" w:rsidRDefault="00085B85">
      <w:pPr>
        <w:rPr>
          <w:rFonts w:ascii="Arial" w:hAnsi="Arial" w:cs="Arial"/>
        </w:rPr>
      </w:pPr>
      <w:r w:rsidRPr="00E43998">
        <w:rPr>
          <w:rFonts w:ascii="Arial" w:hAnsi="Arial" w:cs="Arial"/>
        </w:rPr>
        <w:t xml:space="preserve">Halvårets resultat bliver </w:t>
      </w:r>
      <w:r w:rsidR="00E43998">
        <w:rPr>
          <w:rFonts w:ascii="Arial" w:hAnsi="Arial" w:cs="Arial"/>
        </w:rPr>
        <w:t>herefter</w:t>
      </w:r>
      <w:r w:rsidRPr="00E43998">
        <w:rPr>
          <w:rFonts w:ascii="Arial" w:hAnsi="Arial" w:cs="Arial"/>
        </w:rPr>
        <w:t xml:space="preserve"> et overskud på </w:t>
      </w:r>
      <w:r w:rsidR="00E43998">
        <w:rPr>
          <w:rFonts w:ascii="Arial" w:hAnsi="Arial" w:cs="Arial"/>
        </w:rPr>
        <w:t>10,</w:t>
      </w:r>
      <w:r w:rsidR="007823D1">
        <w:rPr>
          <w:rFonts w:ascii="Arial" w:hAnsi="Arial" w:cs="Arial"/>
        </w:rPr>
        <w:t>5</w:t>
      </w:r>
      <w:r w:rsidR="006163E0" w:rsidRPr="00E43998">
        <w:rPr>
          <w:rFonts w:ascii="Arial" w:hAnsi="Arial" w:cs="Arial"/>
        </w:rPr>
        <w:t xml:space="preserve"> mio. kr. før skat mod </w:t>
      </w:r>
      <w:r w:rsidR="007823D1">
        <w:rPr>
          <w:rFonts w:ascii="Arial" w:hAnsi="Arial" w:cs="Arial"/>
        </w:rPr>
        <w:t>10,8</w:t>
      </w:r>
      <w:r w:rsidR="00DF24D2" w:rsidRPr="00E43998">
        <w:rPr>
          <w:rFonts w:ascii="Arial" w:hAnsi="Arial" w:cs="Arial"/>
        </w:rPr>
        <w:t xml:space="preserve"> mio. kr.</w:t>
      </w:r>
      <w:r w:rsidR="006163E0" w:rsidRPr="00E43998">
        <w:rPr>
          <w:rFonts w:ascii="Arial" w:hAnsi="Arial" w:cs="Arial"/>
        </w:rPr>
        <w:t xml:space="preserve"> året før.</w:t>
      </w:r>
      <w:r w:rsidR="00DF24D2" w:rsidRPr="00E43998">
        <w:rPr>
          <w:rFonts w:ascii="Arial" w:hAnsi="Arial" w:cs="Arial"/>
        </w:rPr>
        <w:t xml:space="preserve"> </w:t>
      </w:r>
    </w:p>
    <w:p w:rsidR="001C31E1" w:rsidRPr="00E43998" w:rsidRDefault="001C31E1">
      <w:pPr>
        <w:rPr>
          <w:rFonts w:ascii="Arial" w:hAnsi="Arial" w:cs="Arial"/>
        </w:rPr>
      </w:pPr>
    </w:p>
    <w:p w:rsidR="00E745D6" w:rsidRPr="00E43998" w:rsidRDefault="00E745D6">
      <w:pPr>
        <w:rPr>
          <w:rFonts w:ascii="Arial" w:hAnsi="Arial" w:cs="Arial"/>
        </w:rPr>
      </w:pPr>
      <w:r w:rsidRPr="00E43998">
        <w:rPr>
          <w:rFonts w:ascii="Arial" w:hAnsi="Arial" w:cs="Arial"/>
        </w:rPr>
        <w:t>Frørup Andelskasses ledelse betegner resultatet som tilfredsstillende.</w:t>
      </w:r>
    </w:p>
    <w:p w:rsidR="00A42048" w:rsidRPr="00E43998" w:rsidRDefault="00A42048">
      <w:pPr>
        <w:rPr>
          <w:rFonts w:ascii="Arial" w:hAnsi="Arial" w:cs="Arial"/>
        </w:rPr>
      </w:pPr>
    </w:p>
    <w:p w:rsidR="00085B85" w:rsidRPr="00E43998" w:rsidRDefault="00085B85">
      <w:pPr>
        <w:rPr>
          <w:rFonts w:ascii="Arial" w:hAnsi="Arial" w:cs="Arial"/>
          <w:b/>
        </w:rPr>
      </w:pPr>
      <w:r w:rsidRPr="00E43998">
        <w:rPr>
          <w:rFonts w:ascii="Arial" w:hAnsi="Arial" w:cs="Arial"/>
          <w:b/>
        </w:rPr>
        <w:t>Balance</w:t>
      </w:r>
    </w:p>
    <w:p w:rsidR="00085B85" w:rsidRPr="00E43998" w:rsidRDefault="007657EC">
      <w:pPr>
        <w:rPr>
          <w:rFonts w:ascii="Arial" w:hAnsi="Arial" w:cs="Arial"/>
        </w:rPr>
      </w:pPr>
      <w:r w:rsidRPr="00E43998">
        <w:rPr>
          <w:rFonts w:ascii="Arial" w:hAnsi="Arial" w:cs="Arial"/>
        </w:rPr>
        <w:t>Balancen udgør pr. 30.6.201</w:t>
      </w:r>
      <w:r w:rsidR="007823D1">
        <w:rPr>
          <w:rFonts w:ascii="Arial" w:hAnsi="Arial" w:cs="Arial"/>
        </w:rPr>
        <w:t>5</w:t>
      </w:r>
      <w:r w:rsidR="00085B85" w:rsidRPr="00E43998">
        <w:rPr>
          <w:rFonts w:ascii="Arial" w:hAnsi="Arial" w:cs="Arial"/>
        </w:rPr>
        <w:t xml:space="preserve"> </w:t>
      </w:r>
      <w:r w:rsidR="007823D1">
        <w:rPr>
          <w:rFonts w:ascii="Arial" w:hAnsi="Arial" w:cs="Arial"/>
        </w:rPr>
        <w:t>924,1</w:t>
      </w:r>
      <w:r w:rsidR="00085B85" w:rsidRPr="00E43998">
        <w:rPr>
          <w:rFonts w:ascii="Arial" w:hAnsi="Arial" w:cs="Arial"/>
        </w:rPr>
        <w:t xml:space="preserve"> mio. kr</w:t>
      </w:r>
      <w:r w:rsidR="00EA6031" w:rsidRPr="00E43998">
        <w:rPr>
          <w:rFonts w:ascii="Arial" w:hAnsi="Arial" w:cs="Arial"/>
        </w:rPr>
        <w:t>.</w:t>
      </w:r>
    </w:p>
    <w:p w:rsidR="00EA6031" w:rsidRPr="00E43998" w:rsidRDefault="00EA6031">
      <w:pPr>
        <w:rPr>
          <w:rFonts w:ascii="Arial" w:hAnsi="Arial" w:cs="Arial"/>
        </w:rPr>
      </w:pPr>
    </w:p>
    <w:p w:rsidR="00085B85" w:rsidRPr="00E43998" w:rsidRDefault="00085B85">
      <w:pPr>
        <w:rPr>
          <w:rFonts w:ascii="Arial" w:hAnsi="Arial" w:cs="Arial"/>
        </w:rPr>
      </w:pPr>
      <w:r w:rsidRPr="00E43998">
        <w:rPr>
          <w:rFonts w:ascii="Arial" w:hAnsi="Arial" w:cs="Arial"/>
        </w:rPr>
        <w:t xml:space="preserve">Udlån er </w:t>
      </w:r>
      <w:r w:rsidR="007823D1">
        <w:rPr>
          <w:rFonts w:ascii="Arial" w:hAnsi="Arial" w:cs="Arial"/>
        </w:rPr>
        <w:t>fastholdt på</w:t>
      </w:r>
      <w:r w:rsidR="006163E0" w:rsidRPr="00E43998">
        <w:rPr>
          <w:rFonts w:ascii="Arial" w:hAnsi="Arial" w:cs="Arial"/>
        </w:rPr>
        <w:t xml:space="preserve"> 2</w:t>
      </w:r>
      <w:r w:rsidR="00E43998">
        <w:rPr>
          <w:rFonts w:ascii="Arial" w:hAnsi="Arial" w:cs="Arial"/>
        </w:rPr>
        <w:t>64,</w:t>
      </w:r>
      <w:r w:rsidR="007823D1">
        <w:rPr>
          <w:rFonts w:ascii="Arial" w:hAnsi="Arial" w:cs="Arial"/>
        </w:rPr>
        <w:t>6</w:t>
      </w:r>
      <w:r w:rsidR="006163E0" w:rsidRPr="00E43998">
        <w:rPr>
          <w:rFonts w:ascii="Arial" w:hAnsi="Arial" w:cs="Arial"/>
        </w:rPr>
        <w:t xml:space="preserve"> mio. kr.</w:t>
      </w:r>
      <w:r w:rsidR="00EA6031" w:rsidRPr="00E43998">
        <w:rPr>
          <w:rFonts w:ascii="Arial" w:hAnsi="Arial" w:cs="Arial"/>
        </w:rPr>
        <w:t xml:space="preserve"> Pr. 31.12.201</w:t>
      </w:r>
      <w:r w:rsidR="007823D1">
        <w:rPr>
          <w:rFonts w:ascii="Arial" w:hAnsi="Arial" w:cs="Arial"/>
        </w:rPr>
        <w:t>4</w:t>
      </w:r>
      <w:r w:rsidR="00EA6031" w:rsidRPr="00E43998">
        <w:rPr>
          <w:rFonts w:ascii="Arial" w:hAnsi="Arial" w:cs="Arial"/>
        </w:rPr>
        <w:t xml:space="preserve"> var udlånet på </w:t>
      </w:r>
      <w:r w:rsidR="007823D1">
        <w:rPr>
          <w:rFonts w:ascii="Arial" w:hAnsi="Arial" w:cs="Arial"/>
        </w:rPr>
        <w:t>264,2</w:t>
      </w:r>
      <w:r w:rsidR="00EA6031" w:rsidRPr="00E43998">
        <w:rPr>
          <w:rFonts w:ascii="Arial" w:hAnsi="Arial" w:cs="Arial"/>
        </w:rPr>
        <w:t xml:space="preserve"> mio. kr.</w:t>
      </w:r>
    </w:p>
    <w:p w:rsidR="00EA6031" w:rsidRPr="00E43998" w:rsidRDefault="00EA6031">
      <w:pPr>
        <w:rPr>
          <w:rFonts w:ascii="Arial" w:hAnsi="Arial" w:cs="Arial"/>
        </w:rPr>
      </w:pPr>
    </w:p>
    <w:p w:rsidR="00EA6031" w:rsidRPr="00E43998" w:rsidRDefault="00EA6031">
      <w:pPr>
        <w:rPr>
          <w:rFonts w:ascii="Arial" w:hAnsi="Arial" w:cs="Arial"/>
        </w:rPr>
      </w:pPr>
      <w:r w:rsidRPr="00E43998">
        <w:rPr>
          <w:rFonts w:ascii="Arial" w:hAnsi="Arial" w:cs="Arial"/>
        </w:rPr>
        <w:t xml:space="preserve">De samlede indlån er steget med </w:t>
      </w:r>
      <w:r w:rsidR="007823D1">
        <w:rPr>
          <w:rFonts w:ascii="Arial" w:hAnsi="Arial" w:cs="Arial"/>
        </w:rPr>
        <w:t>52,1</w:t>
      </w:r>
      <w:r w:rsidRPr="00E43998">
        <w:rPr>
          <w:rFonts w:ascii="Arial" w:hAnsi="Arial" w:cs="Arial"/>
        </w:rPr>
        <w:t xml:space="preserve"> mio. kr. til </w:t>
      </w:r>
      <w:r w:rsidR="007823D1">
        <w:rPr>
          <w:rFonts w:ascii="Arial" w:hAnsi="Arial" w:cs="Arial"/>
        </w:rPr>
        <w:t>683,9</w:t>
      </w:r>
      <w:r w:rsidR="006163E0" w:rsidRPr="00E43998">
        <w:rPr>
          <w:rFonts w:ascii="Arial" w:hAnsi="Arial" w:cs="Arial"/>
        </w:rPr>
        <w:t xml:space="preserve"> mio. kr. </w:t>
      </w:r>
      <w:r w:rsidRPr="00E43998">
        <w:rPr>
          <w:rFonts w:ascii="Arial" w:hAnsi="Arial" w:cs="Arial"/>
        </w:rPr>
        <w:t>i forhold til 30.6.201</w:t>
      </w:r>
      <w:r w:rsidR="007823D1">
        <w:rPr>
          <w:rFonts w:ascii="Arial" w:hAnsi="Arial" w:cs="Arial"/>
        </w:rPr>
        <w:t>4</w:t>
      </w:r>
      <w:r w:rsidRPr="00E43998">
        <w:rPr>
          <w:rFonts w:ascii="Arial" w:hAnsi="Arial" w:cs="Arial"/>
        </w:rPr>
        <w:t>.</w:t>
      </w:r>
    </w:p>
    <w:p w:rsidR="00085B85" w:rsidRPr="00E43998" w:rsidRDefault="00085B85">
      <w:pPr>
        <w:rPr>
          <w:rFonts w:ascii="Arial" w:hAnsi="Arial" w:cs="Arial"/>
        </w:rPr>
      </w:pPr>
    </w:p>
    <w:p w:rsidR="00EA6031" w:rsidRPr="00E43998" w:rsidRDefault="00133401">
      <w:pPr>
        <w:rPr>
          <w:rFonts w:ascii="Arial" w:hAnsi="Arial" w:cs="Arial"/>
        </w:rPr>
      </w:pPr>
      <w:r w:rsidRPr="00E43998">
        <w:rPr>
          <w:rFonts w:ascii="Arial" w:hAnsi="Arial" w:cs="Arial"/>
        </w:rPr>
        <w:t>Andelskassen har ved udgangen af 1. halvår</w:t>
      </w:r>
      <w:r w:rsidR="006163E0" w:rsidRPr="00E43998">
        <w:rPr>
          <w:rFonts w:ascii="Arial" w:hAnsi="Arial" w:cs="Arial"/>
        </w:rPr>
        <w:t xml:space="preserve"> 201</w:t>
      </w:r>
      <w:r w:rsidR="007823D1">
        <w:rPr>
          <w:rFonts w:ascii="Arial" w:hAnsi="Arial" w:cs="Arial"/>
        </w:rPr>
        <w:t>5</w:t>
      </w:r>
      <w:r w:rsidRPr="00E43998">
        <w:rPr>
          <w:rFonts w:ascii="Arial" w:hAnsi="Arial" w:cs="Arial"/>
        </w:rPr>
        <w:t xml:space="preserve"> en egenkapital på </w:t>
      </w:r>
      <w:r w:rsidR="00E43998">
        <w:rPr>
          <w:rFonts w:ascii="Arial" w:hAnsi="Arial" w:cs="Arial"/>
        </w:rPr>
        <w:t>1</w:t>
      </w:r>
      <w:r w:rsidR="007823D1">
        <w:rPr>
          <w:rFonts w:ascii="Arial" w:hAnsi="Arial" w:cs="Arial"/>
        </w:rPr>
        <w:t>99,9</w:t>
      </w:r>
      <w:r w:rsidRPr="00E43998">
        <w:rPr>
          <w:rFonts w:ascii="Arial" w:hAnsi="Arial" w:cs="Arial"/>
        </w:rPr>
        <w:t xml:space="preserve"> mio. kr.</w:t>
      </w:r>
      <w:r w:rsidR="00B159D7" w:rsidRPr="00E43998">
        <w:rPr>
          <w:rFonts w:ascii="Arial" w:hAnsi="Arial" w:cs="Arial"/>
        </w:rPr>
        <w:t xml:space="preserve"> </w:t>
      </w:r>
      <w:r w:rsidR="00EA6031" w:rsidRPr="00E43998">
        <w:rPr>
          <w:rFonts w:ascii="Arial" w:hAnsi="Arial" w:cs="Arial"/>
        </w:rPr>
        <w:t>Af den samlede egenkapital udgør andelskapitalen 1,</w:t>
      </w:r>
      <w:r w:rsidR="007823D1">
        <w:rPr>
          <w:rFonts w:ascii="Arial" w:hAnsi="Arial" w:cs="Arial"/>
        </w:rPr>
        <w:t>1</w:t>
      </w:r>
      <w:r w:rsidR="00EA6031" w:rsidRPr="00E43998">
        <w:rPr>
          <w:rFonts w:ascii="Arial" w:hAnsi="Arial" w:cs="Arial"/>
        </w:rPr>
        <w:t xml:space="preserve"> mio. kr. fordelt på </w:t>
      </w:r>
      <w:r w:rsidR="00A650B3">
        <w:rPr>
          <w:rFonts w:ascii="Arial" w:hAnsi="Arial" w:cs="Arial"/>
        </w:rPr>
        <w:t>2.9</w:t>
      </w:r>
      <w:r w:rsidR="007823D1">
        <w:rPr>
          <w:rFonts w:ascii="Arial" w:hAnsi="Arial" w:cs="Arial"/>
        </w:rPr>
        <w:t>46</w:t>
      </w:r>
      <w:r w:rsidR="00A650B3">
        <w:rPr>
          <w:rFonts w:ascii="Arial" w:hAnsi="Arial" w:cs="Arial"/>
        </w:rPr>
        <w:t xml:space="preserve"> </w:t>
      </w:r>
      <w:r w:rsidR="00EA6031" w:rsidRPr="00E43998">
        <w:rPr>
          <w:rFonts w:ascii="Arial" w:hAnsi="Arial" w:cs="Arial"/>
        </w:rPr>
        <w:t>andelshavere.</w:t>
      </w:r>
    </w:p>
    <w:p w:rsidR="003A7FF5" w:rsidRPr="00E43998" w:rsidRDefault="00A01899" w:rsidP="003A7FF5">
      <w:pPr>
        <w:rPr>
          <w:rFonts w:ascii="Arial" w:hAnsi="Arial" w:cs="Arial"/>
        </w:rPr>
      </w:pPr>
      <w:r w:rsidRPr="00E43998">
        <w:rPr>
          <w:rFonts w:ascii="Arial" w:hAnsi="Arial" w:cs="Arial"/>
        </w:rPr>
        <w:br w:type="page"/>
      </w:r>
    </w:p>
    <w:p w:rsidR="007B04B9" w:rsidRPr="00E43998" w:rsidRDefault="003C01A8">
      <w:pPr>
        <w:rPr>
          <w:rFonts w:ascii="Arial" w:hAnsi="Arial" w:cs="Arial"/>
        </w:rPr>
      </w:pPr>
      <w:r w:rsidRPr="00E43998">
        <w:rPr>
          <w:rFonts w:ascii="Arial" w:hAnsi="Arial" w:cs="Arial"/>
        </w:rPr>
        <w:lastRenderedPageBreak/>
        <w:t>Om halvårets resultat kan følgende oplyses:</w:t>
      </w:r>
    </w:p>
    <w:p w:rsidR="00DF24D2" w:rsidRPr="00E43998" w:rsidRDefault="00DF24D2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899"/>
        <w:gridCol w:w="1038"/>
        <w:gridCol w:w="1054"/>
        <w:gridCol w:w="1054"/>
        <w:gridCol w:w="1054"/>
        <w:gridCol w:w="1054"/>
      </w:tblGrid>
      <w:tr w:rsidR="007823D1" w:rsidRPr="00E43998" w:rsidTr="007823D1">
        <w:tc>
          <w:tcPr>
            <w:tcW w:w="3593" w:type="dxa"/>
            <w:shd w:val="clear" w:color="auto" w:fill="auto"/>
          </w:tcPr>
          <w:p w:rsidR="007823D1" w:rsidRPr="00E43998" w:rsidRDefault="007823D1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:rsidR="007823D1" w:rsidRDefault="007823D1" w:rsidP="00A650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</w:t>
            </w:r>
          </w:p>
        </w:tc>
        <w:tc>
          <w:tcPr>
            <w:tcW w:w="1038" w:type="dxa"/>
          </w:tcPr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2014</w:t>
            </w:r>
          </w:p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30.6</w:t>
            </w:r>
          </w:p>
        </w:tc>
        <w:tc>
          <w:tcPr>
            <w:tcW w:w="1054" w:type="dxa"/>
          </w:tcPr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2013</w:t>
            </w:r>
          </w:p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30.6</w:t>
            </w:r>
          </w:p>
        </w:tc>
        <w:tc>
          <w:tcPr>
            <w:tcW w:w="1054" w:type="dxa"/>
            <w:shd w:val="clear" w:color="auto" w:fill="auto"/>
          </w:tcPr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2012</w:t>
            </w:r>
          </w:p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30.6.</w:t>
            </w:r>
          </w:p>
        </w:tc>
        <w:tc>
          <w:tcPr>
            <w:tcW w:w="1054" w:type="dxa"/>
            <w:shd w:val="clear" w:color="auto" w:fill="auto"/>
          </w:tcPr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2011</w:t>
            </w:r>
          </w:p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30.6.</w:t>
            </w:r>
          </w:p>
        </w:tc>
        <w:tc>
          <w:tcPr>
            <w:tcW w:w="1054" w:type="dxa"/>
            <w:shd w:val="clear" w:color="auto" w:fill="auto"/>
          </w:tcPr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2010</w:t>
            </w:r>
          </w:p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30.6</w:t>
            </w:r>
          </w:p>
        </w:tc>
      </w:tr>
      <w:tr w:rsidR="007823D1" w:rsidRPr="00E43998" w:rsidTr="007823D1">
        <w:tc>
          <w:tcPr>
            <w:tcW w:w="3593" w:type="dxa"/>
            <w:shd w:val="clear" w:color="auto" w:fill="auto"/>
          </w:tcPr>
          <w:p w:rsidR="007823D1" w:rsidRPr="00E43998" w:rsidRDefault="007823D1">
            <w:pPr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Netto rente- og gebyrindtægter</w:t>
            </w:r>
          </w:p>
        </w:tc>
        <w:tc>
          <w:tcPr>
            <w:tcW w:w="899" w:type="dxa"/>
          </w:tcPr>
          <w:p w:rsidR="007823D1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13.317</w:t>
            </w:r>
          </w:p>
        </w:tc>
        <w:tc>
          <w:tcPr>
            <w:tcW w:w="1038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12.816</w:t>
            </w:r>
          </w:p>
        </w:tc>
        <w:tc>
          <w:tcPr>
            <w:tcW w:w="1054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13.842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15.021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13.837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D85880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14.929</w:t>
            </w:r>
          </w:p>
        </w:tc>
      </w:tr>
      <w:tr w:rsidR="007823D1" w:rsidRPr="00E43998" w:rsidTr="007823D1">
        <w:tc>
          <w:tcPr>
            <w:tcW w:w="3593" w:type="dxa"/>
            <w:shd w:val="clear" w:color="auto" w:fill="auto"/>
          </w:tcPr>
          <w:p w:rsidR="007823D1" w:rsidRPr="00E43998" w:rsidRDefault="007823D1">
            <w:pPr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Kursreguleringer</w:t>
            </w:r>
          </w:p>
        </w:tc>
        <w:tc>
          <w:tcPr>
            <w:tcW w:w="899" w:type="dxa"/>
          </w:tcPr>
          <w:p w:rsidR="007823D1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5.698</w:t>
            </w:r>
          </w:p>
        </w:tc>
        <w:tc>
          <w:tcPr>
            <w:tcW w:w="1038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6.632</w:t>
            </w:r>
          </w:p>
        </w:tc>
        <w:tc>
          <w:tcPr>
            <w:tcW w:w="1054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2.046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FE37D4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3.215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-2.475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6.227</w:t>
            </w:r>
          </w:p>
        </w:tc>
      </w:tr>
      <w:tr w:rsidR="007823D1" w:rsidRPr="00E43998" w:rsidTr="007823D1">
        <w:tc>
          <w:tcPr>
            <w:tcW w:w="3593" w:type="dxa"/>
            <w:shd w:val="clear" w:color="auto" w:fill="auto"/>
          </w:tcPr>
          <w:p w:rsidR="007823D1" w:rsidRPr="00E43998" w:rsidRDefault="007823D1">
            <w:pPr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Udgifter personale og administration</w:t>
            </w:r>
          </w:p>
        </w:tc>
        <w:tc>
          <w:tcPr>
            <w:tcW w:w="899" w:type="dxa"/>
          </w:tcPr>
          <w:p w:rsidR="007823D1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-10.066</w:t>
            </w:r>
          </w:p>
        </w:tc>
        <w:tc>
          <w:tcPr>
            <w:tcW w:w="1038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-8.865</w:t>
            </w:r>
          </w:p>
        </w:tc>
        <w:tc>
          <w:tcPr>
            <w:tcW w:w="1054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-8.723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-9.176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-8.593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D85880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-7.795</w:t>
            </w:r>
          </w:p>
        </w:tc>
      </w:tr>
      <w:tr w:rsidR="007823D1" w:rsidRPr="00E43998" w:rsidTr="007823D1">
        <w:tc>
          <w:tcPr>
            <w:tcW w:w="3593" w:type="dxa"/>
            <w:shd w:val="clear" w:color="auto" w:fill="auto"/>
          </w:tcPr>
          <w:p w:rsidR="007823D1" w:rsidRPr="00E43998" w:rsidRDefault="007823D1">
            <w:pPr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Afskrivninger</w:t>
            </w:r>
          </w:p>
        </w:tc>
        <w:tc>
          <w:tcPr>
            <w:tcW w:w="899" w:type="dxa"/>
          </w:tcPr>
          <w:p w:rsidR="007823D1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-89</w:t>
            </w:r>
          </w:p>
        </w:tc>
        <w:tc>
          <w:tcPr>
            <w:tcW w:w="1038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-115</w:t>
            </w:r>
          </w:p>
        </w:tc>
        <w:tc>
          <w:tcPr>
            <w:tcW w:w="1054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-115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-145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-235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-225</w:t>
            </w:r>
          </w:p>
        </w:tc>
      </w:tr>
      <w:tr w:rsidR="007823D1" w:rsidRPr="00E43998" w:rsidTr="007823D1">
        <w:tc>
          <w:tcPr>
            <w:tcW w:w="3593" w:type="dxa"/>
            <w:shd w:val="clear" w:color="auto" w:fill="auto"/>
          </w:tcPr>
          <w:p w:rsidR="007823D1" w:rsidRPr="00E43998" w:rsidRDefault="007823D1">
            <w:pPr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Nedskrivning på udlån m.v.</w:t>
            </w:r>
          </w:p>
        </w:tc>
        <w:tc>
          <w:tcPr>
            <w:tcW w:w="899" w:type="dxa"/>
          </w:tcPr>
          <w:p w:rsidR="007823D1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2.021</w:t>
            </w:r>
          </w:p>
        </w:tc>
        <w:tc>
          <w:tcPr>
            <w:tcW w:w="1038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</w:t>
            </w:r>
          </w:p>
        </w:tc>
        <w:tc>
          <w:tcPr>
            <w:tcW w:w="1054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-5.551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D85880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-4.234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402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-1.920</w:t>
            </w:r>
          </w:p>
        </w:tc>
      </w:tr>
      <w:tr w:rsidR="007823D1" w:rsidRPr="00E43998" w:rsidTr="007823D1">
        <w:tc>
          <w:tcPr>
            <w:tcW w:w="3593" w:type="dxa"/>
            <w:shd w:val="clear" w:color="auto" w:fill="auto"/>
          </w:tcPr>
          <w:p w:rsidR="007823D1" w:rsidRPr="00E43998" w:rsidRDefault="007823D1">
            <w:pPr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Andre driftsudgifter</w:t>
            </w:r>
          </w:p>
        </w:tc>
        <w:tc>
          <w:tcPr>
            <w:tcW w:w="899" w:type="dxa"/>
          </w:tcPr>
          <w:p w:rsidR="007823D1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-647</w:t>
            </w:r>
          </w:p>
        </w:tc>
        <w:tc>
          <w:tcPr>
            <w:tcW w:w="1038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-619</w:t>
            </w:r>
          </w:p>
        </w:tc>
        <w:tc>
          <w:tcPr>
            <w:tcW w:w="1054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-691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D85880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-422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-2.091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D85880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-896</w:t>
            </w:r>
          </w:p>
        </w:tc>
      </w:tr>
      <w:tr w:rsidR="007823D1" w:rsidRPr="00E43998" w:rsidTr="007823D1">
        <w:tc>
          <w:tcPr>
            <w:tcW w:w="3593" w:type="dxa"/>
            <w:shd w:val="clear" w:color="auto" w:fill="auto"/>
          </w:tcPr>
          <w:p w:rsidR="007823D1" w:rsidRPr="00E43998" w:rsidRDefault="007823D1" w:rsidP="00FE37D4">
            <w:pPr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Resultat af kapitalandele i associerede og tilknyttede virksomheder</w:t>
            </w:r>
          </w:p>
        </w:tc>
        <w:tc>
          <w:tcPr>
            <w:tcW w:w="899" w:type="dxa"/>
          </w:tcPr>
          <w:p w:rsidR="007823D1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8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54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9.098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D85880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0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0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D85880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0</w:t>
            </w:r>
          </w:p>
        </w:tc>
      </w:tr>
      <w:tr w:rsidR="007823D1" w:rsidRPr="00E43998" w:rsidTr="007823D1">
        <w:tc>
          <w:tcPr>
            <w:tcW w:w="3593" w:type="dxa"/>
            <w:shd w:val="clear" w:color="auto" w:fill="auto"/>
          </w:tcPr>
          <w:p w:rsidR="007823D1" w:rsidRPr="00E43998" w:rsidRDefault="007823D1">
            <w:pPr>
              <w:rPr>
                <w:rFonts w:ascii="Arial" w:hAnsi="Arial" w:cs="Arial"/>
                <w:b/>
              </w:rPr>
            </w:pPr>
            <w:r w:rsidRPr="00E43998">
              <w:rPr>
                <w:rFonts w:ascii="Arial" w:hAnsi="Arial" w:cs="Arial"/>
                <w:b/>
              </w:rPr>
              <w:t>Resultat før skat</w:t>
            </w:r>
          </w:p>
        </w:tc>
        <w:tc>
          <w:tcPr>
            <w:tcW w:w="899" w:type="dxa"/>
          </w:tcPr>
          <w:p w:rsidR="007823D1" w:rsidRDefault="007823D1" w:rsidP="00E03F4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10.526</w:t>
            </w:r>
          </w:p>
        </w:tc>
        <w:tc>
          <w:tcPr>
            <w:tcW w:w="1038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10.844</w:t>
            </w:r>
          </w:p>
        </w:tc>
        <w:tc>
          <w:tcPr>
            <w:tcW w:w="1054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  <w:b/>
              </w:rPr>
            </w:pPr>
            <w:r w:rsidRPr="00E43998">
              <w:rPr>
                <w:rFonts w:ascii="Arial" w:hAnsi="Arial" w:cs="Arial"/>
                <w:b/>
              </w:rPr>
              <w:t>9.906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  <w:b/>
              </w:rPr>
            </w:pPr>
            <w:r w:rsidRPr="00E43998">
              <w:rPr>
                <w:rFonts w:ascii="Arial" w:hAnsi="Arial" w:cs="Arial"/>
                <w:b/>
              </w:rPr>
              <w:t>4.259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  <w:b/>
              </w:rPr>
            </w:pPr>
            <w:r w:rsidRPr="00E43998">
              <w:rPr>
                <w:rFonts w:ascii="Arial" w:hAnsi="Arial" w:cs="Arial"/>
                <w:b/>
              </w:rPr>
              <w:t>845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  <w:b/>
              </w:rPr>
            </w:pPr>
            <w:r w:rsidRPr="00E43998">
              <w:rPr>
                <w:rFonts w:ascii="Arial" w:hAnsi="Arial" w:cs="Arial"/>
                <w:b/>
              </w:rPr>
              <w:t>10.320</w:t>
            </w:r>
          </w:p>
        </w:tc>
      </w:tr>
      <w:tr w:rsidR="007823D1" w:rsidRPr="00E43998" w:rsidTr="007823D1">
        <w:tc>
          <w:tcPr>
            <w:tcW w:w="3593" w:type="dxa"/>
            <w:shd w:val="clear" w:color="auto" w:fill="auto"/>
          </w:tcPr>
          <w:p w:rsidR="007823D1" w:rsidRPr="00E43998" w:rsidRDefault="007823D1">
            <w:pPr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Skat</w:t>
            </w:r>
          </w:p>
        </w:tc>
        <w:tc>
          <w:tcPr>
            <w:tcW w:w="899" w:type="dxa"/>
          </w:tcPr>
          <w:p w:rsidR="007823D1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-2.849</w:t>
            </w:r>
          </w:p>
        </w:tc>
        <w:tc>
          <w:tcPr>
            <w:tcW w:w="1038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-2.656</w:t>
            </w:r>
          </w:p>
        </w:tc>
        <w:tc>
          <w:tcPr>
            <w:tcW w:w="1054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-2.477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-1.065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-211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D85880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2.580</w:t>
            </w:r>
          </w:p>
        </w:tc>
      </w:tr>
      <w:tr w:rsidR="007823D1" w:rsidRPr="00E43998" w:rsidTr="007823D1">
        <w:tc>
          <w:tcPr>
            <w:tcW w:w="3593" w:type="dxa"/>
            <w:shd w:val="clear" w:color="auto" w:fill="auto"/>
          </w:tcPr>
          <w:p w:rsidR="007823D1" w:rsidRPr="00E43998" w:rsidRDefault="007823D1">
            <w:pPr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Periodens resultat</w:t>
            </w:r>
          </w:p>
        </w:tc>
        <w:tc>
          <w:tcPr>
            <w:tcW w:w="899" w:type="dxa"/>
          </w:tcPr>
          <w:p w:rsidR="007823D1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7.677</w:t>
            </w:r>
          </w:p>
        </w:tc>
        <w:tc>
          <w:tcPr>
            <w:tcW w:w="1038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8.188</w:t>
            </w:r>
          </w:p>
        </w:tc>
        <w:tc>
          <w:tcPr>
            <w:tcW w:w="1054" w:type="dxa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7.429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3.194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634</w:t>
            </w:r>
          </w:p>
        </w:tc>
        <w:tc>
          <w:tcPr>
            <w:tcW w:w="1054" w:type="dxa"/>
            <w:shd w:val="clear" w:color="auto" w:fill="auto"/>
          </w:tcPr>
          <w:p w:rsidR="007823D1" w:rsidRPr="00E43998" w:rsidRDefault="007823D1" w:rsidP="00E03F42">
            <w:pPr>
              <w:jc w:val="right"/>
              <w:rPr>
                <w:rFonts w:ascii="Arial" w:hAnsi="Arial" w:cs="Arial"/>
              </w:rPr>
            </w:pPr>
            <w:r w:rsidRPr="00E43998">
              <w:rPr>
                <w:rFonts w:ascii="Arial" w:hAnsi="Arial" w:cs="Arial"/>
              </w:rPr>
              <w:t>7.740</w:t>
            </w:r>
          </w:p>
        </w:tc>
      </w:tr>
    </w:tbl>
    <w:p w:rsidR="00C86574" w:rsidRPr="00E43998" w:rsidRDefault="00C86574">
      <w:pPr>
        <w:rPr>
          <w:rFonts w:ascii="Arial" w:hAnsi="Arial" w:cs="Arial"/>
        </w:rPr>
      </w:pPr>
    </w:p>
    <w:p w:rsidR="007A436F" w:rsidRPr="00E43998" w:rsidRDefault="00BE1F7B">
      <w:pPr>
        <w:rPr>
          <w:rFonts w:ascii="Arial" w:hAnsi="Arial" w:cs="Arial"/>
        </w:rPr>
      </w:pPr>
      <w:r w:rsidRPr="00E43998">
        <w:rPr>
          <w:rFonts w:ascii="Arial" w:hAnsi="Arial" w:cs="Arial"/>
        </w:rPr>
        <w:t>Balance pr. 30.6.</w:t>
      </w:r>
      <w:r w:rsidR="00F338EE" w:rsidRPr="00E43998">
        <w:rPr>
          <w:rFonts w:ascii="Arial" w:hAnsi="Arial" w:cs="Arial"/>
        </w:rPr>
        <w:t>201</w:t>
      </w:r>
      <w:r w:rsidR="00742A92">
        <w:rPr>
          <w:rFonts w:ascii="Arial" w:hAnsi="Arial" w:cs="Arial"/>
        </w:rPr>
        <w:t>4</w:t>
      </w:r>
    </w:p>
    <w:p w:rsidR="003B2614" w:rsidRPr="00E43998" w:rsidRDefault="003B2614" w:rsidP="003B2614">
      <w:pPr>
        <w:pStyle w:val="Overskrift2"/>
        <w:tabs>
          <w:tab w:val="right" w:pos="6946"/>
        </w:tabs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939"/>
        <w:gridCol w:w="1059"/>
        <w:gridCol w:w="1081"/>
        <w:gridCol w:w="1081"/>
        <w:gridCol w:w="1081"/>
        <w:gridCol w:w="1081"/>
      </w:tblGrid>
      <w:tr w:rsidR="007823D1" w:rsidRPr="00E43998" w:rsidTr="007823D1">
        <w:tc>
          <w:tcPr>
            <w:tcW w:w="3461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92" w:type="dxa"/>
          </w:tcPr>
          <w:p w:rsidR="007823D1" w:rsidRDefault="007823D1" w:rsidP="00A650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  <w:p w:rsidR="007823D1" w:rsidRDefault="007823D1" w:rsidP="00A650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</w:t>
            </w:r>
          </w:p>
        </w:tc>
        <w:tc>
          <w:tcPr>
            <w:tcW w:w="1061" w:type="dxa"/>
          </w:tcPr>
          <w:p w:rsidR="007823D1" w:rsidRDefault="007823D1" w:rsidP="00A650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</w:t>
            </w:r>
          </w:p>
        </w:tc>
        <w:tc>
          <w:tcPr>
            <w:tcW w:w="1083" w:type="dxa"/>
          </w:tcPr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2013</w:t>
            </w:r>
          </w:p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30.6</w:t>
            </w:r>
          </w:p>
        </w:tc>
        <w:tc>
          <w:tcPr>
            <w:tcW w:w="1083" w:type="dxa"/>
            <w:shd w:val="clear" w:color="auto" w:fill="auto"/>
          </w:tcPr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2012</w:t>
            </w:r>
          </w:p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30.6.</w:t>
            </w:r>
          </w:p>
        </w:tc>
        <w:tc>
          <w:tcPr>
            <w:tcW w:w="1083" w:type="dxa"/>
            <w:shd w:val="clear" w:color="auto" w:fill="auto"/>
          </w:tcPr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2011</w:t>
            </w:r>
          </w:p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30.6.</w:t>
            </w:r>
          </w:p>
        </w:tc>
        <w:tc>
          <w:tcPr>
            <w:tcW w:w="1083" w:type="dxa"/>
            <w:shd w:val="clear" w:color="auto" w:fill="auto"/>
          </w:tcPr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2010</w:t>
            </w:r>
          </w:p>
          <w:p w:rsidR="007823D1" w:rsidRPr="00A650B3" w:rsidRDefault="007823D1" w:rsidP="00A650B3">
            <w:pPr>
              <w:jc w:val="center"/>
              <w:rPr>
                <w:rFonts w:ascii="Arial" w:hAnsi="Arial" w:cs="Arial"/>
              </w:rPr>
            </w:pPr>
            <w:r w:rsidRPr="00A650B3">
              <w:rPr>
                <w:rFonts w:ascii="Arial" w:hAnsi="Arial" w:cs="Arial"/>
              </w:rPr>
              <w:t>30.6</w:t>
            </w:r>
          </w:p>
        </w:tc>
      </w:tr>
      <w:tr w:rsidR="007823D1" w:rsidRPr="00E43998" w:rsidTr="007823D1">
        <w:tc>
          <w:tcPr>
            <w:tcW w:w="3461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Egenkapital</w:t>
            </w:r>
          </w:p>
        </w:tc>
        <w:tc>
          <w:tcPr>
            <w:tcW w:w="892" w:type="dxa"/>
          </w:tcPr>
          <w:p w:rsidR="007823D1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199.856</w:t>
            </w:r>
          </w:p>
        </w:tc>
        <w:tc>
          <w:tcPr>
            <w:tcW w:w="1061" w:type="dxa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195.154</w:t>
            </w:r>
          </w:p>
        </w:tc>
        <w:tc>
          <w:tcPr>
            <w:tcW w:w="1083" w:type="dxa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183.199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168.694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167.737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D85880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164.501</w:t>
            </w:r>
          </w:p>
        </w:tc>
      </w:tr>
      <w:tr w:rsidR="007823D1" w:rsidRPr="00E43998" w:rsidTr="007823D1">
        <w:tc>
          <w:tcPr>
            <w:tcW w:w="3461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Balance</w:t>
            </w:r>
          </w:p>
        </w:tc>
        <w:tc>
          <w:tcPr>
            <w:tcW w:w="892" w:type="dxa"/>
          </w:tcPr>
          <w:p w:rsidR="007823D1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924.091</w:t>
            </w:r>
          </w:p>
        </w:tc>
        <w:tc>
          <w:tcPr>
            <w:tcW w:w="1061" w:type="dxa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838.157</w:t>
            </w:r>
          </w:p>
        </w:tc>
        <w:tc>
          <w:tcPr>
            <w:tcW w:w="1083" w:type="dxa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786.374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729.975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725.989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687.783</w:t>
            </w:r>
          </w:p>
        </w:tc>
      </w:tr>
      <w:tr w:rsidR="007823D1" w:rsidRPr="00E43998" w:rsidTr="007823D1">
        <w:tc>
          <w:tcPr>
            <w:tcW w:w="3461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Indlån</w:t>
            </w:r>
          </w:p>
        </w:tc>
        <w:tc>
          <w:tcPr>
            <w:tcW w:w="892" w:type="dxa"/>
          </w:tcPr>
          <w:p w:rsidR="007823D1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683.912</w:t>
            </w:r>
          </w:p>
        </w:tc>
        <w:tc>
          <w:tcPr>
            <w:tcW w:w="1061" w:type="dxa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631.754</w:t>
            </w:r>
          </w:p>
        </w:tc>
        <w:tc>
          <w:tcPr>
            <w:tcW w:w="1083" w:type="dxa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594.254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545.493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542.051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D85880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507.556</w:t>
            </w:r>
          </w:p>
        </w:tc>
      </w:tr>
      <w:tr w:rsidR="007823D1" w:rsidRPr="00E43998" w:rsidTr="007823D1">
        <w:tc>
          <w:tcPr>
            <w:tcW w:w="3461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Udlån</w:t>
            </w:r>
          </w:p>
        </w:tc>
        <w:tc>
          <w:tcPr>
            <w:tcW w:w="892" w:type="dxa"/>
          </w:tcPr>
          <w:p w:rsidR="007823D1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264.554</w:t>
            </w:r>
          </w:p>
        </w:tc>
        <w:tc>
          <w:tcPr>
            <w:tcW w:w="1061" w:type="dxa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264.532</w:t>
            </w:r>
          </w:p>
        </w:tc>
        <w:tc>
          <w:tcPr>
            <w:tcW w:w="1083" w:type="dxa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274.639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D85880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296.583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313.452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D85880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310.910</w:t>
            </w:r>
          </w:p>
        </w:tc>
      </w:tr>
      <w:tr w:rsidR="007823D1" w:rsidRPr="00E43998" w:rsidTr="007823D1">
        <w:tc>
          <w:tcPr>
            <w:tcW w:w="3461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Garantier</w:t>
            </w:r>
          </w:p>
        </w:tc>
        <w:tc>
          <w:tcPr>
            <w:tcW w:w="892" w:type="dxa"/>
          </w:tcPr>
          <w:p w:rsidR="007823D1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116.384</w:t>
            </w:r>
          </w:p>
        </w:tc>
        <w:tc>
          <w:tcPr>
            <w:tcW w:w="1061" w:type="dxa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61.468</w:t>
            </w:r>
          </w:p>
        </w:tc>
        <w:tc>
          <w:tcPr>
            <w:tcW w:w="1083" w:type="dxa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64.766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59.126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D85880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48.368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D85880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107.589</w:t>
            </w:r>
          </w:p>
        </w:tc>
      </w:tr>
      <w:tr w:rsidR="007823D1" w:rsidRPr="00E43998" w:rsidTr="007823D1">
        <w:tc>
          <w:tcPr>
            <w:tcW w:w="3461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Antal ansatte (fuldtids)</w:t>
            </w:r>
          </w:p>
        </w:tc>
        <w:tc>
          <w:tcPr>
            <w:tcW w:w="892" w:type="dxa"/>
          </w:tcPr>
          <w:p w:rsidR="007823D1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14,8</w:t>
            </w:r>
          </w:p>
        </w:tc>
        <w:tc>
          <w:tcPr>
            <w:tcW w:w="1061" w:type="dxa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1083" w:type="dxa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14,4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13,4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D85880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13,7</w:t>
            </w:r>
          </w:p>
        </w:tc>
        <w:tc>
          <w:tcPr>
            <w:tcW w:w="1083" w:type="dxa"/>
            <w:shd w:val="clear" w:color="auto" w:fill="auto"/>
          </w:tcPr>
          <w:p w:rsidR="007823D1" w:rsidRPr="00E43998" w:rsidRDefault="007823D1" w:rsidP="00E03F42">
            <w:pPr>
              <w:pStyle w:val="Overskrift2"/>
              <w:tabs>
                <w:tab w:val="right" w:pos="6946"/>
              </w:tabs>
              <w:jc w:val="right"/>
              <w:rPr>
                <w:rFonts w:ascii="Arial" w:hAnsi="Arial" w:cs="Arial"/>
                <w:sz w:val="20"/>
              </w:rPr>
            </w:pPr>
            <w:r w:rsidRPr="00E43998">
              <w:rPr>
                <w:rFonts w:ascii="Arial" w:hAnsi="Arial" w:cs="Arial"/>
                <w:sz w:val="20"/>
              </w:rPr>
              <w:t>13,7</w:t>
            </w:r>
          </w:p>
        </w:tc>
      </w:tr>
    </w:tbl>
    <w:p w:rsidR="00EE3701" w:rsidRPr="00E43998" w:rsidRDefault="00EE3701" w:rsidP="00EE3701">
      <w:pPr>
        <w:rPr>
          <w:rFonts w:ascii="Arial" w:hAnsi="Arial" w:cs="Arial"/>
        </w:rPr>
      </w:pPr>
    </w:p>
    <w:p w:rsidR="007823D1" w:rsidRDefault="007823D1" w:rsidP="00F338EE">
      <w:pPr>
        <w:rPr>
          <w:rFonts w:ascii="Arial" w:hAnsi="Arial" w:cs="Arial"/>
          <w:b/>
        </w:rPr>
      </w:pPr>
    </w:p>
    <w:p w:rsidR="00F338EE" w:rsidRPr="00E43998" w:rsidRDefault="00F338EE" w:rsidP="00F338EE">
      <w:pPr>
        <w:rPr>
          <w:rFonts w:ascii="Arial" w:hAnsi="Arial" w:cs="Arial"/>
          <w:b/>
        </w:rPr>
      </w:pPr>
      <w:r w:rsidRPr="00E43998">
        <w:rPr>
          <w:rFonts w:ascii="Arial" w:hAnsi="Arial" w:cs="Arial"/>
          <w:b/>
        </w:rPr>
        <w:t>Forventet årsresultat</w:t>
      </w:r>
      <w:r w:rsidR="00020B3E" w:rsidRPr="00E43998">
        <w:rPr>
          <w:rFonts w:ascii="Arial" w:hAnsi="Arial" w:cs="Arial"/>
          <w:b/>
        </w:rPr>
        <w:t xml:space="preserve"> 201</w:t>
      </w:r>
      <w:r w:rsidR="001313CD">
        <w:rPr>
          <w:rFonts w:ascii="Arial" w:hAnsi="Arial" w:cs="Arial"/>
          <w:b/>
        </w:rPr>
        <w:t>5</w:t>
      </w:r>
    </w:p>
    <w:p w:rsidR="00FE37D4" w:rsidRDefault="00F338EE" w:rsidP="009D62F7">
      <w:pPr>
        <w:autoSpaceDE w:val="0"/>
        <w:autoSpaceDN w:val="0"/>
        <w:adjustRightInd w:val="0"/>
        <w:rPr>
          <w:rFonts w:ascii="Arial" w:hAnsi="Arial" w:cs="Arial"/>
        </w:rPr>
      </w:pPr>
      <w:r w:rsidRPr="00E43998">
        <w:rPr>
          <w:rFonts w:ascii="Arial" w:hAnsi="Arial" w:cs="Arial"/>
        </w:rPr>
        <w:t>Andelskassen forventer</w:t>
      </w:r>
      <w:r w:rsidR="00020B3E" w:rsidRPr="00E43998">
        <w:rPr>
          <w:rFonts w:ascii="Arial" w:hAnsi="Arial" w:cs="Arial"/>
        </w:rPr>
        <w:t>,</w:t>
      </w:r>
      <w:r w:rsidRPr="00E43998">
        <w:rPr>
          <w:rFonts w:ascii="Arial" w:hAnsi="Arial" w:cs="Arial"/>
        </w:rPr>
        <w:t xml:space="preserve"> at resultatet</w:t>
      </w:r>
      <w:r w:rsidR="009D62F7">
        <w:rPr>
          <w:rFonts w:ascii="Arial" w:hAnsi="Arial" w:cs="Arial"/>
        </w:rPr>
        <w:t xml:space="preserve"> for hele 201</w:t>
      </w:r>
      <w:r w:rsidR="001313CD">
        <w:rPr>
          <w:rFonts w:ascii="Arial" w:hAnsi="Arial" w:cs="Arial"/>
        </w:rPr>
        <w:t>5</w:t>
      </w:r>
      <w:r w:rsidR="009D62F7">
        <w:rPr>
          <w:rFonts w:ascii="Arial" w:hAnsi="Arial" w:cs="Arial"/>
        </w:rPr>
        <w:t xml:space="preserve"> vil være højere end resultatet pr. 30. juni 201</w:t>
      </w:r>
      <w:r w:rsidR="001313CD">
        <w:rPr>
          <w:rFonts w:ascii="Arial" w:hAnsi="Arial" w:cs="Arial"/>
        </w:rPr>
        <w:t>5</w:t>
      </w:r>
      <w:r w:rsidR="009D62F7">
        <w:rPr>
          <w:rFonts w:ascii="Arial" w:hAnsi="Arial" w:cs="Arial"/>
        </w:rPr>
        <w:t xml:space="preserve">, dog med forbehold for </w:t>
      </w:r>
      <w:r w:rsidRPr="00E43998">
        <w:rPr>
          <w:rFonts w:ascii="Arial" w:hAnsi="Arial" w:cs="Arial"/>
        </w:rPr>
        <w:t>kursreguleringer</w:t>
      </w:r>
      <w:r w:rsidR="009D62F7">
        <w:rPr>
          <w:rFonts w:ascii="Arial" w:hAnsi="Arial" w:cs="Arial"/>
        </w:rPr>
        <w:t xml:space="preserve"> på værdipapirer og</w:t>
      </w:r>
      <w:r w:rsidR="00FE37D4" w:rsidRPr="00E43998">
        <w:rPr>
          <w:rFonts w:ascii="Arial" w:hAnsi="Arial" w:cs="Arial"/>
        </w:rPr>
        <w:t xml:space="preserve"> </w:t>
      </w:r>
      <w:r w:rsidR="003843F7" w:rsidRPr="00E43998">
        <w:rPr>
          <w:rFonts w:ascii="Arial" w:hAnsi="Arial" w:cs="Arial"/>
        </w:rPr>
        <w:t>n</w:t>
      </w:r>
      <w:r w:rsidRPr="00E43998">
        <w:rPr>
          <w:rFonts w:ascii="Arial" w:hAnsi="Arial" w:cs="Arial"/>
        </w:rPr>
        <w:t>edskrivninger</w:t>
      </w:r>
      <w:r w:rsidR="009D62F7">
        <w:rPr>
          <w:rFonts w:ascii="Arial" w:hAnsi="Arial" w:cs="Arial"/>
        </w:rPr>
        <w:t xml:space="preserve"> på udlån, som begge</w:t>
      </w:r>
      <w:r w:rsidR="001313CD">
        <w:rPr>
          <w:rFonts w:ascii="Arial" w:hAnsi="Arial" w:cs="Arial"/>
        </w:rPr>
        <w:t xml:space="preserve"> kan</w:t>
      </w:r>
      <w:r w:rsidR="009D62F7">
        <w:rPr>
          <w:rFonts w:ascii="Arial" w:hAnsi="Arial" w:cs="Arial"/>
        </w:rPr>
        <w:t xml:space="preserve"> påvirkes af udviklingen i den generelle samfundsøkonomi.</w:t>
      </w:r>
    </w:p>
    <w:p w:rsidR="009D62F7" w:rsidRPr="00E43998" w:rsidRDefault="009D62F7" w:rsidP="009D62F7">
      <w:pPr>
        <w:autoSpaceDE w:val="0"/>
        <w:autoSpaceDN w:val="0"/>
        <w:adjustRightInd w:val="0"/>
        <w:rPr>
          <w:rFonts w:ascii="Arial" w:hAnsi="Arial" w:cs="Arial"/>
        </w:rPr>
      </w:pPr>
    </w:p>
    <w:p w:rsidR="00607075" w:rsidRPr="00E43998" w:rsidRDefault="00607075">
      <w:pPr>
        <w:pStyle w:val="Brdtekst"/>
        <w:rPr>
          <w:rFonts w:ascii="Arial" w:hAnsi="Arial" w:cs="Arial"/>
          <w:sz w:val="20"/>
        </w:rPr>
      </w:pPr>
    </w:p>
    <w:p w:rsidR="007A436F" w:rsidRPr="00E43998" w:rsidRDefault="007A436F">
      <w:pPr>
        <w:pStyle w:val="Brdtekst"/>
        <w:rPr>
          <w:rFonts w:ascii="Arial" w:hAnsi="Arial" w:cs="Arial"/>
          <w:sz w:val="20"/>
        </w:rPr>
      </w:pPr>
      <w:r w:rsidRPr="00E43998">
        <w:rPr>
          <w:rFonts w:ascii="Arial" w:hAnsi="Arial" w:cs="Arial"/>
          <w:sz w:val="20"/>
        </w:rPr>
        <w:t>Med venlig hilsen</w:t>
      </w:r>
    </w:p>
    <w:p w:rsidR="009D62F7" w:rsidRPr="00E43998" w:rsidRDefault="009D62F7">
      <w:pPr>
        <w:pStyle w:val="Brdtek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Frørup Andelskasse</w:t>
      </w:r>
    </w:p>
    <w:p w:rsidR="009D62F7" w:rsidRDefault="009D62F7">
      <w:pPr>
        <w:pStyle w:val="Brdtekst"/>
        <w:rPr>
          <w:rFonts w:ascii="Arial" w:hAnsi="Arial" w:cs="Arial"/>
          <w:sz w:val="20"/>
        </w:rPr>
      </w:pPr>
    </w:p>
    <w:p w:rsidR="007A436F" w:rsidRPr="00E43998" w:rsidRDefault="00D85880">
      <w:pPr>
        <w:pStyle w:val="Brdtekst"/>
        <w:rPr>
          <w:rFonts w:ascii="Arial" w:hAnsi="Arial" w:cs="Arial"/>
          <w:sz w:val="20"/>
        </w:rPr>
      </w:pPr>
      <w:r w:rsidRPr="00E43998">
        <w:rPr>
          <w:rFonts w:ascii="Arial" w:hAnsi="Arial" w:cs="Arial"/>
          <w:sz w:val="20"/>
        </w:rPr>
        <w:t>Jesper Hansen</w:t>
      </w:r>
    </w:p>
    <w:p w:rsidR="00D85880" w:rsidRPr="00E43998" w:rsidRDefault="00D85880">
      <w:pPr>
        <w:pStyle w:val="Brdtekst"/>
        <w:rPr>
          <w:rFonts w:ascii="Arial" w:hAnsi="Arial" w:cs="Arial"/>
          <w:sz w:val="20"/>
        </w:rPr>
      </w:pPr>
      <w:r w:rsidRPr="00E43998">
        <w:rPr>
          <w:rFonts w:ascii="Arial" w:hAnsi="Arial" w:cs="Arial"/>
          <w:sz w:val="20"/>
        </w:rPr>
        <w:t>Direktør</w:t>
      </w:r>
    </w:p>
    <w:sectPr w:rsidR="00D85880" w:rsidRPr="00E43998" w:rsidSect="0074436E">
      <w:footerReference w:type="even" r:id="rId8"/>
      <w:footerReference w:type="default" r:id="rId9"/>
      <w:headerReference w:type="first" r:id="rId10"/>
      <w:pgSz w:w="11906" w:h="16838" w:code="9"/>
      <w:pgMar w:top="1134" w:right="1134" w:bottom="567" w:left="1134" w:header="113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5E" w:rsidRDefault="00B9705E">
      <w:r>
        <w:separator/>
      </w:r>
    </w:p>
  </w:endnote>
  <w:endnote w:type="continuationSeparator" w:id="0">
    <w:p w:rsidR="00B9705E" w:rsidRDefault="00B9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32" w:rsidRDefault="00973932" w:rsidP="0036569B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73932" w:rsidRDefault="00973932" w:rsidP="0074436E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32" w:rsidRDefault="00973932" w:rsidP="0036569B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2473C">
      <w:rPr>
        <w:rStyle w:val="Sidetal"/>
        <w:noProof/>
      </w:rPr>
      <w:t>2</w:t>
    </w:r>
    <w:r>
      <w:rPr>
        <w:rStyle w:val="Sidetal"/>
      </w:rPr>
      <w:fldChar w:fldCharType="end"/>
    </w:r>
  </w:p>
  <w:p w:rsidR="00973932" w:rsidRDefault="00973932" w:rsidP="0074436E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5E" w:rsidRDefault="00B9705E">
      <w:r>
        <w:separator/>
      </w:r>
    </w:p>
  </w:footnote>
  <w:footnote w:type="continuationSeparator" w:id="0">
    <w:p w:rsidR="00B9705E" w:rsidRDefault="00B97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32" w:rsidRDefault="00973932" w:rsidP="00A42048">
    <w:pPr>
      <w:pStyle w:val="Sidehoved"/>
      <w:jc w:val="center"/>
    </w:pPr>
  </w:p>
  <w:p w:rsidR="00973932" w:rsidRDefault="00973932" w:rsidP="00A42048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39B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C423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BE0BE2"/>
    <w:multiLevelType w:val="hybridMultilevel"/>
    <w:tmpl w:val="0B7277C2"/>
    <w:lvl w:ilvl="0" w:tplc="040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8122A3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9E7774"/>
    <w:multiLevelType w:val="hybridMultilevel"/>
    <w:tmpl w:val="0A085A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B5082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3F862B2"/>
    <w:multiLevelType w:val="hybridMultilevel"/>
    <w:tmpl w:val="3502FA4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B5072F"/>
    <w:multiLevelType w:val="hybridMultilevel"/>
    <w:tmpl w:val="885EE3E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B8451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EB"/>
    <w:rsid w:val="00003115"/>
    <w:rsid w:val="000063AC"/>
    <w:rsid w:val="00013201"/>
    <w:rsid w:val="00020B3E"/>
    <w:rsid w:val="000230DA"/>
    <w:rsid w:val="00032587"/>
    <w:rsid w:val="00037189"/>
    <w:rsid w:val="00037C3B"/>
    <w:rsid w:val="00071481"/>
    <w:rsid w:val="00074D23"/>
    <w:rsid w:val="00085B85"/>
    <w:rsid w:val="000C7623"/>
    <w:rsid w:val="000E6B04"/>
    <w:rsid w:val="000F663F"/>
    <w:rsid w:val="00121C7B"/>
    <w:rsid w:val="001313CD"/>
    <w:rsid w:val="00133401"/>
    <w:rsid w:val="0015116E"/>
    <w:rsid w:val="00156901"/>
    <w:rsid w:val="00174824"/>
    <w:rsid w:val="0017538C"/>
    <w:rsid w:val="00175551"/>
    <w:rsid w:val="001C31E1"/>
    <w:rsid w:val="00217FB8"/>
    <w:rsid w:val="0023028C"/>
    <w:rsid w:val="00230A75"/>
    <w:rsid w:val="0023116D"/>
    <w:rsid w:val="00256A67"/>
    <w:rsid w:val="00290506"/>
    <w:rsid w:val="002F4E5A"/>
    <w:rsid w:val="00303698"/>
    <w:rsid w:val="00310895"/>
    <w:rsid w:val="00311E08"/>
    <w:rsid w:val="00347E47"/>
    <w:rsid w:val="0036569B"/>
    <w:rsid w:val="003843F7"/>
    <w:rsid w:val="003A7FF5"/>
    <w:rsid w:val="003B2614"/>
    <w:rsid w:val="003B4B90"/>
    <w:rsid w:val="003B76EF"/>
    <w:rsid w:val="003C01A8"/>
    <w:rsid w:val="003D115F"/>
    <w:rsid w:val="003D40AA"/>
    <w:rsid w:val="003D686C"/>
    <w:rsid w:val="003E5FC9"/>
    <w:rsid w:val="003F7061"/>
    <w:rsid w:val="0040463C"/>
    <w:rsid w:val="0042796A"/>
    <w:rsid w:val="004639C6"/>
    <w:rsid w:val="004A1882"/>
    <w:rsid w:val="005031BE"/>
    <w:rsid w:val="00515B2F"/>
    <w:rsid w:val="0054489F"/>
    <w:rsid w:val="00551A2A"/>
    <w:rsid w:val="005667E0"/>
    <w:rsid w:val="00576C0B"/>
    <w:rsid w:val="00586888"/>
    <w:rsid w:val="005D783B"/>
    <w:rsid w:val="00603916"/>
    <w:rsid w:val="00607075"/>
    <w:rsid w:val="0061356A"/>
    <w:rsid w:val="006163E0"/>
    <w:rsid w:val="00621511"/>
    <w:rsid w:val="00660463"/>
    <w:rsid w:val="006767AA"/>
    <w:rsid w:val="0069107A"/>
    <w:rsid w:val="006B405C"/>
    <w:rsid w:val="00742A92"/>
    <w:rsid w:val="0074436E"/>
    <w:rsid w:val="007647C2"/>
    <w:rsid w:val="007657EC"/>
    <w:rsid w:val="00774EA4"/>
    <w:rsid w:val="007823D1"/>
    <w:rsid w:val="00783189"/>
    <w:rsid w:val="007A1F1B"/>
    <w:rsid w:val="007A436F"/>
    <w:rsid w:val="007B04B9"/>
    <w:rsid w:val="007C3571"/>
    <w:rsid w:val="007C64C1"/>
    <w:rsid w:val="0082473C"/>
    <w:rsid w:val="00825E3D"/>
    <w:rsid w:val="00844E87"/>
    <w:rsid w:val="00850ADF"/>
    <w:rsid w:val="008A3173"/>
    <w:rsid w:val="008B10B3"/>
    <w:rsid w:val="008B1BFA"/>
    <w:rsid w:val="008E411E"/>
    <w:rsid w:val="00937204"/>
    <w:rsid w:val="009374BC"/>
    <w:rsid w:val="009628E1"/>
    <w:rsid w:val="00973932"/>
    <w:rsid w:val="00993CC1"/>
    <w:rsid w:val="009A3571"/>
    <w:rsid w:val="009D62F7"/>
    <w:rsid w:val="009E4F48"/>
    <w:rsid w:val="009F3430"/>
    <w:rsid w:val="00A01899"/>
    <w:rsid w:val="00A42048"/>
    <w:rsid w:val="00A447A6"/>
    <w:rsid w:val="00A54738"/>
    <w:rsid w:val="00A61FEB"/>
    <w:rsid w:val="00A650B3"/>
    <w:rsid w:val="00A83333"/>
    <w:rsid w:val="00AA061F"/>
    <w:rsid w:val="00AA6E80"/>
    <w:rsid w:val="00AB53E0"/>
    <w:rsid w:val="00AC2D7E"/>
    <w:rsid w:val="00AE64A6"/>
    <w:rsid w:val="00AE7C18"/>
    <w:rsid w:val="00AF1BBF"/>
    <w:rsid w:val="00B035C7"/>
    <w:rsid w:val="00B06813"/>
    <w:rsid w:val="00B159D7"/>
    <w:rsid w:val="00B24954"/>
    <w:rsid w:val="00B308E9"/>
    <w:rsid w:val="00B70441"/>
    <w:rsid w:val="00B72844"/>
    <w:rsid w:val="00B9705E"/>
    <w:rsid w:val="00BE1F7B"/>
    <w:rsid w:val="00BF190E"/>
    <w:rsid w:val="00C72844"/>
    <w:rsid w:val="00C7300D"/>
    <w:rsid w:val="00C83B39"/>
    <w:rsid w:val="00C86574"/>
    <w:rsid w:val="00C94E6E"/>
    <w:rsid w:val="00CD06C2"/>
    <w:rsid w:val="00CD4055"/>
    <w:rsid w:val="00CF51B8"/>
    <w:rsid w:val="00CF5880"/>
    <w:rsid w:val="00D03302"/>
    <w:rsid w:val="00D1428F"/>
    <w:rsid w:val="00D25F5E"/>
    <w:rsid w:val="00D2691A"/>
    <w:rsid w:val="00D42C99"/>
    <w:rsid w:val="00D60653"/>
    <w:rsid w:val="00D663B5"/>
    <w:rsid w:val="00D666E1"/>
    <w:rsid w:val="00D7289A"/>
    <w:rsid w:val="00D737A8"/>
    <w:rsid w:val="00D85880"/>
    <w:rsid w:val="00DA158F"/>
    <w:rsid w:val="00DC19ED"/>
    <w:rsid w:val="00DD171B"/>
    <w:rsid w:val="00DE1330"/>
    <w:rsid w:val="00DF24D2"/>
    <w:rsid w:val="00DF76D0"/>
    <w:rsid w:val="00E03F42"/>
    <w:rsid w:val="00E34B46"/>
    <w:rsid w:val="00E43998"/>
    <w:rsid w:val="00E61479"/>
    <w:rsid w:val="00E67223"/>
    <w:rsid w:val="00E67A04"/>
    <w:rsid w:val="00E70DA8"/>
    <w:rsid w:val="00E745D6"/>
    <w:rsid w:val="00E75AE5"/>
    <w:rsid w:val="00E85AB1"/>
    <w:rsid w:val="00EA6031"/>
    <w:rsid w:val="00EB53C5"/>
    <w:rsid w:val="00EC6EA6"/>
    <w:rsid w:val="00EE3701"/>
    <w:rsid w:val="00F14B0B"/>
    <w:rsid w:val="00F338EE"/>
    <w:rsid w:val="00F91F0B"/>
    <w:rsid w:val="00F93D6F"/>
    <w:rsid w:val="00F959E7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0"/>
      <w:u w:val="single"/>
    </w:rPr>
  </w:style>
  <w:style w:type="paragraph" w:styleId="Overskrift2">
    <w:name w:val="heading 2"/>
    <w:basedOn w:val="Normal"/>
    <w:next w:val="Normal"/>
    <w:qFormat/>
    <w:pPr>
      <w:keepNext/>
      <w:tabs>
        <w:tab w:val="right" w:pos="4395"/>
        <w:tab w:val="right" w:pos="5954"/>
      </w:tabs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3C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744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0"/>
      <w:u w:val="single"/>
    </w:rPr>
  </w:style>
  <w:style w:type="paragraph" w:styleId="Overskrift2">
    <w:name w:val="heading 2"/>
    <w:basedOn w:val="Normal"/>
    <w:next w:val="Normal"/>
    <w:qFormat/>
    <w:pPr>
      <w:keepNext/>
      <w:tabs>
        <w:tab w:val="right" w:pos="4395"/>
        <w:tab w:val="right" w:pos="5954"/>
      </w:tabs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3C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74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64086A3C</Template>
  <TotalTime>13</TotalTime>
  <Pages>2</Pages>
  <Words>531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Pressemeddelelse vedrørende Frørup Andelskasses årsregnskab 2002</vt:lpstr>
    </vt:vector>
  </TitlesOfParts>
  <Company>BEC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 vedrørende Frørup Andelskasses årsregnskab 2002</dc:title>
  <dc:creator>Gunnar Thomasen</dc:creator>
  <cp:lastModifiedBy>Jesper Hansen</cp:lastModifiedBy>
  <cp:revision>6</cp:revision>
  <cp:lastPrinted>2015-08-14T12:50:00Z</cp:lastPrinted>
  <dcterms:created xsi:type="dcterms:W3CDTF">2015-08-14T12:30:00Z</dcterms:created>
  <dcterms:modified xsi:type="dcterms:W3CDTF">2015-08-17T06:56:00Z</dcterms:modified>
</cp:coreProperties>
</file>